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F8BA11">
      <w:pPr>
        <w:pStyle w:val="14"/>
        <w:spacing w:before="120" w:beforeAutospacing="0" w:after="120" w:afterAutospacing="0" w:line="360" w:lineRule="auto"/>
        <w:rPr>
          <w:highlight w:val="none"/>
        </w:rPr>
      </w:pPr>
      <w:r>
        <w:rPr>
          <w:highlight w:val="none"/>
        </w:rPr>
        <w:t> </w:t>
      </w:r>
    </w:p>
    <w:p w14:paraId="0748D618">
      <w:pPr>
        <w:pStyle w:val="14"/>
        <w:spacing w:before="120" w:beforeAutospacing="0" w:after="120" w:afterAutospacing="0" w:line="360" w:lineRule="auto"/>
        <w:jc w:val="center"/>
        <w:rPr>
          <w:highlight w:val="none"/>
        </w:rPr>
      </w:pPr>
      <w:r>
        <w:rPr>
          <w:rFonts w:ascii="Arial" w:hAnsi="Arial" w:cs="Arial"/>
          <w:b/>
          <w:color w:val="000000"/>
          <w:sz w:val="84"/>
          <w:szCs w:val="84"/>
          <w:highlight w:val="none"/>
        </w:rPr>
        <w:t>招 标 文 件</w:t>
      </w:r>
    </w:p>
    <w:p w14:paraId="09111B76">
      <w:pPr>
        <w:pStyle w:val="14"/>
        <w:spacing w:before="120" w:beforeAutospacing="0" w:after="120" w:afterAutospacing="0" w:line="360" w:lineRule="auto"/>
        <w:ind w:firstLine="2249"/>
        <w:rPr>
          <w:rFonts w:ascii="Arial" w:hAnsi="Arial" w:cs="Arial"/>
          <w:b/>
          <w:color w:val="000000"/>
          <w:sz w:val="32"/>
          <w:szCs w:val="32"/>
          <w:highlight w:val="none"/>
        </w:rPr>
      </w:pPr>
    </w:p>
    <w:p w14:paraId="2C60B6BF">
      <w:pPr>
        <w:pStyle w:val="14"/>
        <w:spacing w:before="120" w:beforeAutospacing="0" w:after="120" w:afterAutospacing="0" w:line="360" w:lineRule="auto"/>
        <w:ind w:firstLine="2249"/>
        <w:rPr>
          <w:rFonts w:ascii="Arial" w:hAnsi="Arial" w:cs="Arial"/>
          <w:b/>
          <w:color w:val="000000"/>
          <w:sz w:val="32"/>
          <w:szCs w:val="32"/>
          <w:highlight w:val="none"/>
        </w:rPr>
      </w:pPr>
    </w:p>
    <w:p w14:paraId="426B4137">
      <w:pPr>
        <w:pStyle w:val="14"/>
        <w:spacing w:before="120" w:beforeAutospacing="0" w:after="120" w:afterAutospacing="0" w:line="360" w:lineRule="auto"/>
        <w:ind w:firstLine="2249"/>
        <w:rPr>
          <w:rFonts w:ascii="Arial" w:hAnsi="Arial" w:cs="Arial"/>
          <w:b/>
          <w:color w:val="000000"/>
          <w:sz w:val="32"/>
          <w:szCs w:val="32"/>
          <w:highlight w:val="none"/>
        </w:rPr>
      </w:pPr>
    </w:p>
    <w:p w14:paraId="5D33C2B8">
      <w:pPr>
        <w:pStyle w:val="14"/>
        <w:spacing w:before="120" w:beforeAutospacing="0" w:after="120" w:afterAutospacing="0" w:line="360" w:lineRule="auto"/>
        <w:ind w:firstLine="2249"/>
        <w:rPr>
          <w:rFonts w:ascii="Arial" w:hAnsi="Arial" w:cs="Arial"/>
          <w:b/>
          <w:color w:val="000000"/>
          <w:sz w:val="32"/>
          <w:szCs w:val="32"/>
          <w:highlight w:val="none"/>
        </w:rPr>
      </w:pPr>
    </w:p>
    <w:p w14:paraId="1ECB69E0">
      <w:pPr>
        <w:pStyle w:val="14"/>
        <w:spacing w:before="120" w:beforeAutospacing="0" w:after="120" w:afterAutospacing="0" w:line="360" w:lineRule="auto"/>
        <w:ind w:left="1606" w:hanging="1606" w:hangingChars="500"/>
        <w:rPr>
          <w:rFonts w:hint="eastAsia"/>
          <w:b/>
          <w:color w:val="000000" w:themeColor="text1"/>
          <w:sz w:val="32"/>
          <w:szCs w:val="32"/>
          <w:lang w:val="en-US" w:eastAsia="zh-CN"/>
          <w14:textFill>
            <w14:solidFill>
              <w14:schemeClr w14:val="tx1"/>
            </w14:solidFill>
          </w14:textFill>
        </w:rPr>
      </w:pPr>
      <w:r>
        <w:rPr>
          <w:rFonts w:ascii="Arial" w:hAnsi="Arial" w:cs="Arial"/>
          <w:b/>
          <w:color w:val="000000"/>
          <w:sz w:val="32"/>
          <w:szCs w:val="32"/>
          <w:highlight w:val="none"/>
        </w:rPr>
        <w:t>项目名称：</w:t>
      </w:r>
      <w:r>
        <w:rPr>
          <w:rFonts w:hint="eastAsia" w:ascii="Arial" w:hAnsi="Arial" w:cs="Arial"/>
          <w:b/>
          <w:color w:val="000000"/>
          <w:sz w:val="32"/>
          <w:szCs w:val="32"/>
          <w:highlight w:val="none"/>
          <w:lang w:val="en-US" w:eastAsia="zh-CN"/>
        </w:rPr>
        <w:t>2026-2028年盐南市容秩序管理外包服务项目（南海未来城、高铁站等重点标段）</w:t>
      </w:r>
    </w:p>
    <w:p w14:paraId="693AAD55">
      <w:pPr>
        <w:pStyle w:val="14"/>
        <w:spacing w:beforeAutospacing="0" w:afterAutospacing="0"/>
        <w:jc w:val="both"/>
        <w:rPr>
          <w:rFonts w:hint="eastAsia" w:eastAsiaTheme="minorEastAsia"/>
          <w:highlight w:val="none"/>
          <w:lang w:val="en-US" w:eastAsia="zh-CN"/>
        </w:rPr>
      </w:pPr>
      <w:r>
        <w:rPr>
          <w:rFonts w:ascii="Times New Roman" w:hAnsi="Times New Roman"/>
          <w:b/>
          <w:color w:val="000000"/>
          <w:sz w:val="32"/>
          <w:szCs w:val="32"/>
          <w:highlight w:val="none"/>
        </w:rPr>
        <w:t>项目编号：</w:t>
      </w:r>
      <w:r>
        <w:rPr>
          <w:rFonts w:hint="eastAsia" w:ascii="宋体" w:hAnsi="宋体" w:eastAsia="宋体" w:cs="宋体"/>
          <w:b/>
          <w:color w:val="auto"/>
          <w:sz w:val="36"/>
          <w:highlight w:val="none"/>
          <w:lang w:eastAsia="zh-CN"/>
        </w:rPr>
        <w:t>JSZC-320992-KSPZ-G2026-0003</w:t>
      </w:r>
    </w:p>
    <w:p w14:paraId="6F53CC27">
      <w:pPr>
        <w:pStyle w:val="14"/>
        <w:spacing w:beforeAutospacing="0" w:afterAutospacing="0" w:line="360" w:lineRule="auto"/>
        <w:rPr>
          <w:highlight w:val="none"/>
        </w:rPr>
      </w:pPr>
      <w:r>
        <w:rPr>
          <w:highlight w:val="none"/>
        </w:rPr>
        <w:t> </w:t>
      </w:r>
    </w:p>
    <w:p w14:paraId="24182504">
      <w:pPr>
        <w:pStyle w:val="14"/>
        <w:spacing w:beforeAutospacing="0" w:afterAutospacing="0" w:line="360" w:lineRule="auto"/>
        <w:rPr>
          <w:highlight w:val="none"/>
        </w:rPr>
      </w:pPr>
    </w:p>
    <w:p w14:paraId="3C13D1EC">
      <w:pPr>
        <w:pStyle w:val="14"/>
        <w:spacing w:beforeAutospacing="0" w:afterAutospacing="0" w:line="360" w:lineRule="auto"/>
        <w:rPr>
          <w:highlight w:val="none"/>
        </w:rPr>
      </w:pPr>
      <w:r>
        <w:rPr>
          <w:highlight w:val="none"/>
        </w:rPr>
        <w:t> </w:t>
      </w:r>
    </w:p>
    <w:p w14:paraId="68483B32">
      <w:pPr>
        <w:pStyle w:val="14"/>
        <w:spacing w:beforeAutospacing="0" w:afterAutospacing="0" w:line="360" w:lineRule="auto"/>
        <w:rPr>
          <w:highlight w:val="none"/>
        </w:rPr>
      </w:pPr>
      <w:r>
        <w:rPr>
          <w:highlight w:val="none"/>
        </w:rPr>
        <w:t> </w:t>
      </w:r>
    </w:p>
    <w:p w14:paraId="5C4F9B91">
      <w:pPr>
        <w:pStyle w:val="14"/>
        <w:spacing w:beforeAutospacing="0" w:afterAutospacing="0" w:line="360" w:lineRule="auto"/>
        <w:rPr>
          <w:highlight w:val="none"/>
        </w:rPr>
      </w:pPr>
      <w:r>
        <w:rPr>
          <w:highlight w:val="none"/>
        </w:rPr>
        <w:t> </w:t>
      </w:r>
    </w:p>
    <w:p w14:paraId="38DC4F88">
      <w:pPr>
        <w:pStyle w:val="14"/>
        <w:spacing w:beforeAutospacing="0" w:afterAutospacing="0" w:line="360" w:lineRule="auto"/>
        <w:rPr>
          <w:highlight w:val="none"/>
        </w:rPr>
      </w:pPr>
      <w:r>
        <w:rPr>
          <w:highlight w:val="none"/>
        </w:rPr>
        <w:t> </w:t>
      </w:r>
    </w:p>
    <w:p w14:paraId="683B6739">
      <w:pPr>
        <w:pStyle w:val="26"/>
        <w:jc w:val="center"/>
        <w:rPr>
          <w:rFonts w:hint="eastAsia" w:hAnsi="宋体" w:cs="宋体"/>
          <w:b/>
          <w:bCs/>
          <w:sz w:val="30"/>
          <w:szCs w:val="30"/>
          <w:highlight w:val="none"/>
          <w:lang w:val="en-US" w:eastAsia="zh-CN"/>
        </w:rPr>
      </w:pPr>
      <w:r>
        <w:rPr>
          <w:rFonts w:hint="eastAsia" w:ascii="Arial" w:hAnsi="Arial" w:cs="Arial"/>
          <w:b/>
          <w:color w:val="000000"/>
          <w:sz w:val="32"/>
          <w:szCs w:val="32"/>
          <w:highlight w:val="none"/>
        </w:rPr>
        <w:t>采购单位</w:t>
      </w:r>
      <w:r>
        <w:rPr>
          <w:rFonts w:hint="eastAsia" w:ascii="Arial" w:hAnsi="Arial" w:cs="Arial"/>
          <w:b/>
          <w:color w:val="000000"/>
          <w:sz w:val="32"/>
          <w:szCs w:val="32"/>
          <w:highlight w:val="none"/>
          <w:lang w:eastAsia="zh-CN"/>
        </w:rPr>
        <w:t>：</w:t>
      </w:r>
      <w:r>
        <w:rPr>
          <w:rFonts w:hint="eastAsia" w:ascii="宋体" w:hAnsi="宋体" w:cs="宋体"/>
          <w:b/>
          <w:bCs/>
          <w:sz w:val="30"/>
          <w:szCs w:val="30"/>
          <w:highlight w:val="none"/>
          <w:lang w:val="en-US" w:eastAsia="zh-CN"/>
        </w:rPr>
        <w:t>江苏省盐南高新技术产业开发区城市</w:t>
      </w:r>
      <w:r>
        <w:rPr>
          <w:rFonts w:hint="eastAsia" w:hAnsi="宋体" w:cs="宋体"/>
          <w:b/>
          <w:bCs/>
          <w:sz w:val="30"/>
          <w:szCs w:val="30"/>
          <w:highlight w:val="none"/>
          <w:lang w:val="en-US" w:eastAsia="zh-CN"/>
        </w:rPr>
        <w:t>管理服务中心</w:t>
      </w:r>
    </w:p>
    <w:p w14:paraId="1606A715">
      <w:pPr>
        <w:pStyle w:val="26"/>
        <w:jc w:val="center"/>
        <w:rPr>
          <w:rFonts w:hint="eastAsia" w:ascii="Arial" w:hAnsi="Arial" w:cs="Arial" w:eastAsiaTheme="minorEastAsia"/>
          <w:b/>
          <w:color w:val="000000"/>
          <w:sz w:val="32"/>
          <w:szCs w:val="32"/>
          <w:highlight w:val="none"/>
          <w:lang w:val="en-US" w:eastAsia="zh-CN"/>
        </w:rPr>
      </w:pPr>
      <w:r>
        <w:rPr>
          <w:rFonts w:hint="eastAsia" w:hAnsi="宋体" w:cs="宋体"/>
          <w:b/>
          <w:bCs/>
          <w:sz w:val="30"/>
          <w:szCs w:val="30"/>
          <w:highlight w:val="none"/>
          <w:lang w:val="en-US" w:eastAsia="zh-CN"/>
        </w:rPr>
        <w:t>代理机构：昆山品正建设顾问有限公司</w:t>
      </w:r>
    </w:p>
    <w:p w14:paraId="4FD243CB">
      <w:pPr>
        <w:pStyle w:val="14"/>
        <w:spacing w:before="120" w:beforeAutospacing="0" w:after="120" w:afterAutospacing="0" w:line="360" w:lineRule="auto"/>
        <w:jc w:val="center"/>
        <w:rPr>
          <w:highlight w:val="none"/>
        </w:rPr>
      </w:pPr>
      <w:r>
        <w:rPr>
          <w:rFonts w:hint="eastAsia" w:ascii="Arial" w:hAnsi="Arial" w:cs="Arial"/>
          <w:b/>
          <w:color w:val="000000"/>
          <w:sz w:val="32"/>
          <w:szCs w:val="32"/>
          <w:highlight w:val="none"/>
          <w:lang w:val="en-US" w:eastAsia="zh-CN"/>
        </w:rPr>
        <w:t>2026</w:t>
      </w:r>
      <w:r>
        <w:rPr>
          <w:rFonts w:ascii="Arial" w:hAnsi="Arial" w:cs="Arial"/>
          <w:b/>
          <w:color w:val="000000"/>
          <w:sz w:val="32"/>
          <w:szCs w:val="32"/>
          <w:highlight w:val="none"/>
        </w:rPr>
        <w:t>年</w:t>
      </w:r>
      <w:r>
        <w:rPr>
          <w:rFonts w:hint="eastAsia" w:ascii="Arial" w:hAnsi="Arial" w:cs="Arial"/>
          <w:b/>
          <w:color w:val="000000"/>
          <w:sz w:val="32"/>
          <w:szCs w:val="32"/>
          <w:highlight w:val="none"/>
          <w:lang w:val="en-US" w:eastAsia="zh-CN"/>
        </w:rPr>
        <w:t>3</w:t>
      </w:r>
      <w:r>
        <w:rPr>
          <w:rFonts w:ascii="Arial" w:hAnsi="Arial" w:cs="Arial"/>
          <w:b/>
          <w:color w:val="000000"/>
          <w:sz w:val="32"/>
          <w:szCs w:val="32"/>
          <w:highlight w:val="none"/>
        </w:rPr>
        <w:t>月</w:t>
      </w:r>
    </w:p>
    <w:p w14:paraId="07289AF9">
      <w:pPr>
        <w:pStyle w:val="14"/>
        <w:spacing w:before="120" w:beforeAutospacing="0" w:after="120" w:afterAutospacing="0" w:line="360" w:lineRule="auto"/>
        <w:rPr>
          <w:highlight w:val="none"/>
        </w:rPr>
      </w:pPr>
      <w:r>
        <w:rPr>
          <w:rFonts w:ascii="Arial" w:hAnsi="Arial" w:cs="Arial"/>
          <w:color w:val="000000"/>
          <w:highlight w:val="none"/>
        </w:rPr>
        <w:t xml:space="preserve">                        </w:t>
      </w:r>
    </w:p>
    <w:p w14:paraId="0AECF051">
      <w:pPr>
        <w:pStyle w:val="14"/>
        <w:spacing w:beforeAutospacing="0" w:afterAutospacing="0" w:line="480" w:lineRule="auto"/>
        <w:jc w:val="center"/>
        <w:rPr>
          <w:rFonts w:ascii="Times New Roman" w:hAnsi="Times New Roman"/>
          <w:color w:val="000000"/>
          <w:sz w:val="21"/>
          <w:szCs w:val="21"/>
          <w:highlight w:val="none"/>
        </w:rPr>
      </w:pPr>
      <w:r>
        <w:rPr>
          <w:rFonts w:ascii="Times New Roman" w:hAnsi="Times New Roman"/>
          <w:color w:val="000000"/>
          <w:sz w:val="21"/>
          <w:szCs w:val="21"/>
          <w:highlight w:val="none"/>
        </w:rPr>
        <w:t> </w:t>
      </w:r>
      <w:bookmarkStart w:id="0" w:name="_Toc120614210"/>
      <w:bookmarkStart w:id="1" w:name="_Toc16938516"/>
      <w:bookmarkStart w:id="2" w:name="_Toc513029200"/>
      <w:bookmarkStart w:id="3" w:name="_Toc20823272"/>
      <w:bookmarkStart w:id="4" w:name="_Toc523127445"/>
      <w:bookmarkStart w:id="5" w:name="_Toc479757206"/>
      <w:r>
        <w:rPr>
          <w:rFonts w:ascii="Times New Roman" w:hAnsi="Times New Roman"/>
          <w:color w:val="000000"/>
          <w:sz w:val="21"/>
          <w:szCs w:val="21"/>
          <w:highlight w:val="none"/>
        </w:rPr>
        <w:t> </w:t>
      </w:r>
    </w:p>
    <w:p w14:paraId="413E4670">
      <w:pPr>
        <w:pStyle w:val="14"/>
        <w:spacing w:beforeAutospacing="0" w:afterAutospacing="0" w:line="480" w:lineRule="auto"/>
        <w:jc w:val="center"/>
        <w:rPr>
          <w:rFonts w:ascii="黑体" w:hAnsi="宋体" w:eastAsia="黑体" w:cs="黑体"/>
          <w:b/>
          <w:color w:val="000000"/>
          <w:sz w:val="44"/>
          <w:szCs w:val="44"/>
          <w:highlight w:val="none"/>
        </w:rPr>
      </w:pPr>
    </w:p>
    <w:p w14:paraId="1C306D57">
      <w:pPr>
        <w:pStyle w:val="14"/>
        <w:spacing w:beforeAutospacing="0" w:afterAutospacing="0" w:line="480" w:lineRule="auto"/>
        <w:jc w:val="center"/>
        <w:rPr>
          <w:highlight w:val="none"/>
        </w:rPr>
      </w:pPr>
      <w:r>
        <w:rPr>
          <w:rFonts w:ascii="黑体" w:hAnsi="宋体" w:eastAsia="黑体" w:cs="黑体"/>
          <w:b/>
          <w:color w:val="000000"/>
          <w:sz w:val="44"/>
          <w:szCs w:val="44"/>
          <w:highlight w:val="none"/>
        </w:rPr>
        <w:t>总  目  录</w:t>
      </w:r>
      <w:bookmarkEnd w:id="0"/>
      <w:bookmarkEnd w:id="1"/>
      <w:bookmarkEnd w:id="2"/>
      <w:bookmarkEnd w:id="3"/>
      <w:bookmarkEnd w:id="4"/>
      <w:bookmarkEnd w:id="5"/>
    </w:p>
    <w:p w14:paraId="6EB96C7E">
      <w:pPr>
        <w:pStyle w:val="14"/>
        <w:spacing w:beforeAutospacing="0" w:afterAutospacing="0" w:line="480" w:lineRule="auto"/>
        <w:jc w:val="both"/>
        <w:rPr>
          <w:highlight w:val="none"/>
        </w:rPr>
      </w:pPr>
      <w:r>
        <w:rPr>
          <w:highlight w:val="none"/>
        </w:rPr>
        <w:t> </w:t>
      </w:r>
    </w:p>
    <w:p w14:paraId="63E5A6A0">
      <w:pPr>
        <w:pStyle w:val="14"/>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lang w:val="en-US" w:eastAsia="zh-CN"/>
        </w:rPr>
        <w:t>招标公告</w:t>
      </w:r>
      <w:r>
        <w:rPr>
          <w:rFonts w:hint="eastAsia" w:ascii="黑体" w:hAnsi="宋体" w:eastAsia="黑体" w:cs="黑体"/>
          <w:color w:val="000000"/>
          <w:sz w:val="36"/>
          <w:szCs w:val="36"/>
          <w:highlight w:val="none"/>
        </w:rPr>
        <w:t>……………………………………</w:t>
      </w:r>
      <w:r>
        <w:rPr>
          <w:rFonts w:hint="eastAsia" w:ascii="黑体" w:hAnsi="宋体" w:eastAsia="黑体" w:cs="黑体"/>
          <w:color w:val="000000"/>
          <w:sz w:val="36"/>
          <w:szCs w:val="36"/>
          <w:highlight w:val="none"/>
          <w:lang w:val="en-US" w:eastAsia="zh-CN"/>
        </w:rPr>
        <w:t>3</w:t>
      </w:r>
      <w:r>
        <w:rPr>
          <w:rFonts w:hint="eastAsia" w:ascii="黑体" w:hAnsi="宋体" w:eastAsia="黑体" w:cs="黑体"/>
          <w:color w:val="000000"/>
          <w:sz w:val="36"/>
          <w:szCs w:val="36"/>
          <w:highlight w:val="none"/>
        </w:rPr>
        <w:t xml:space="preserve"> </w:t>
      </w:r>
    </w:p>
    <w:p w14:paraId="3F048C29">
      <w:pPr>
        <w:pStyle w:val="14"/>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投标人须知…………………………………</w:t>
      </w:r>
      <w:r>
        <w:rPr>
          <w:rFonts w:hint="eastAsia" w:ascii="黑体" w:hAnsi="宋体" w:eastAsia="黑体" w:cs="黑体"/>
          <w:color w:val="000000"/>
          <w:sz w:val="36"/>
          <w:szCs w:val="36"/>
          <w:highlight w:val="none"/>
          <w:lang w:val="en-US" w:eastAsia="zh-CN"/>
        </w:rPr>
        <w:t>7</w:t>
      </w:r>
      <w:r>
        <w:rPr>
          <w:rFonts w:hint="eastAsia" w:ascii="黑体" w:hAnsi="宋体" w:eastAsia="黑体" w:cs="黑体"/>
          <w:color w:val="000000"/>
          <w:sz w:val="36"/>
          <w:szCs w:val="36"/>
          <w:highlight w:val="none"/>
        </w:rPr>
        <w:t xml:space="preserve">  </w:t>
      </w:r>
    </w:p>
    <w:p w14:paraId="36557F5B">
      <w:pPr>
        <w:pStyle w:val="14"/>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rPr>
        <w:t>合同文本……………………………………</w:t>
      </w:r>
      <w:r>
        <w:rPr>
          <w:rFonts w:hint="eastAsia" w:ascii="黑体" w:hAnsi="宋体" w:eastAsia="黑体" w:cs="黑体"/>
          <w:color w:val="000000"/>
          <w:sz w:val="36"/>
          <w:szCs w:val="36"/>
          <w:highlight w:val="none"/>
          <w:lang w:val="en-US" w:eastAsia="zh-CN"/>
        </w:rPr>
        <w:t>24</w:t>
      </w:r>
    </w:p>
    <w:p w14:paraId="76DCD7D4">
      <w:pPr>
        <w:pStyle w:val="14"/>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rPr>
        <w:t>采购需求……………………………………</w:t>
      </w:r>
      <w:r>
        <w:rPr>
          <w:rFonts w:hint="eastAsia" w:ascii="黑体" w:hAnsi="宋体" w:eastAsia="黑体" w:cs="黑体"/>
          <w:color w:val="000000"/>
          <w:sz w:val="36"/>
          <w:szCs w:val="36"/>
          <w:highlight w:val="none"/>
          <w:lang w:val="en-US" w:eastAsia="zh-CN"/>
        </w:rPr>
        <w:t>44</w:t>
      </w:r>
    </w:p>
    <w:p w14:paraId="45A89372">
      <w:pPr>
        <w:pStyle w:val="14"/>
        <w:tabs>
          <w:tab w:val="left" w:pos="1441"/>
        </w:tabs>
        <w:spacing w:beforeAutospacing="0" w:afterAutospacing="0" w:line="480" w:lineRule="auto"/>
        <w:ind w:left="2160" w:hanging="1440"/>
        <w:jc w:val="both"/>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rPr>
        <w:t>评标方法与评标标准………………………</w:t>
      </w:r>
      <w:r>
        <w:rPr>
          <w:rFonts w:hint="eastAsia" w:ascii="黑体" w:hAnsi="宋体" w:eastAsia="黑体" w:cs="黑体"/>
          <w:color w:val="000000"/>
          <w:sz w:val="36"/>
          <w:szCs w:val="36"/>
          <w:highlight w:val="none"/>
          <w:lang w:val="en-US" w:eastAsia="zh-CN"/>
        </w:rPr>
        <w:t>45</w:t>
      </w:r>
    </w:p>
    <w:p w14:paraId="6D203C59">
      <w:pPr>
        <w:pStyle w:val="14"/>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rPr>
        <w:t>投标文件格式………………………………</w:t>
      </w:r>
      <w:r>
        <w:rPr>
          <w:rFonts w:hint="eastAsia" w:ascii="黑体" w:hAnsi="宋体" w:eastAsia="黑体" w:cs="黑体"/>
          <w:color w:val="000000"/>
          <w:sz w:val="36"/>
          <w:szCs w:val="36"/>
          <w:highlight w:val="none"/>
          <w:lang w:val="en-US" w:eastAsia="zh-CN"/>
        </w:rPr>
        <w:t>49</w:t>
      </w:r>
    </w:p>
    <w:p w14:paraId="64341C45">
      <w:pPr>
        <w:pStyle w:val="14"/>
        <w:spacing w:beforeAutospacing="0" w:afterAutospacing="0"/>
        <w:jc w:val="both"/>
        <w:rPr>
          <w:highlight w:val="none"/>
        </w:rPr>
      </w:pPr>
      <w:r>
        <w:rPr>
          <w:highlight w:val="none"/>
        </w:rPr>
        <w:t> </w:t>
      </w:r>
    </w:p>
    <w:p w14:paraId="16364196">
      <w:pPr>
        <w:pStyle w:val="14"/>
        <w:spacing w:beforeAutospacing="0" w:afterAutospacing="0"/>
        <w:jc w:val="both"/>
        <w:rPr>
          <w:highlight w:val="none"/>
        </w:rPr>
      </w:pPr>
      <w:r>
        <w:rPr>
          <w:highlight w:val="none"/>
        </w:rPr>
        <w:t> </w:t>
      </w:r>
    </w:p>
    <w:p w14:paraId="11556BE8">
      <w:pPr>
        <w:pStyle w:val="14"/>
        <w:spacing w:beforeAutospacing="0" w:afterAutospacing="0"/>
        <w:jc w:val="both"/>
        <w:rPr>
          <w:highlight w:val="none"/>
        </w:rPr>
      </w:pPr>
      <w:r>
        <w:rPr>
          <w:highlight w:val="none"/>
        </w:rPr>
        <w:t> </w:t>
      </w:r>
    </w:p>
    <w:p w14:paraId="7B29980D">
      <w:pPr>
        <w:pStyle w:val="14"/>
        <w:spacing w:beforeAutospacing="0" w:afterAutospacing="0"/>
        <w:jc w:val="both"/>
        <w:rPr>
          <w:highlight w:val="none"/>
        </w:rPr>
      </w:pPr>
      <w:r>
        <w:rPr>
          <w:highlight w:val="none"/>
        </w:rPr>
        <w:t> </w:t>
      </w:r>
    </w:p>
    <w:p w14:paraId="1611712B">
      <w:pPr>
        <w:pStyle w:val="14"/>
        <w:spacing w:beforeAutospacing="0" w:afterAutospacing="0"/>
        <w:jc w:val="both"/>
        <w:rPr>
          <w:highlight w:val="none"/>
        </w:rPr>
      </w:pPr>
      <w:r>
        <w:rPr>
          <w:highlight w:val="none"/>
        </w:rPr>
        <w:t> </w:t>
      </w:r>
    </w:p>
    <w:p w14:paraId="69FAA169">
      <w:pPr>
        <w:pStyle w:val="14"/>
        <w:spacing w:beforeAutospacing="0" w:afterAutospacing="0"/>
        <w:jc w:val="both"/>
        <w:rPr>
          <w:highlight w:val="none"/>
        </w:rPr>
      </w:pPr>
      <w:r>
        <w:rPr>
          <w:highlight w:val="none"/>
        </w:rPr>
        <w:t> </w:t>
      </w:r>
    </w:p>
    <w:p w14:paraId="4182AF71">
      <w:pPr>
        <w:pStyle w:val="14"/>
        <w:spacing w:beforeAutospacing="0" w:afterAutospacing="0"/>
        <w:jc w:val="both"/>
        <w:rPr>
          <w:highlight w:val="none"/>
        </w:rPr>
      </w:pPr>
      <w:r>
        <w:rPr>
          <w:highlight w:val="none"/>
        </w:rPr>
        <w:t> </w:t>
      </w:r>
    </w:p>
    <w:p w14:paraId="71654CC7">
      <w:pPr>
        <w:pStyle w:val="14"/>
        <w:spacing w:beforeAutospacing="0" w:afterAutospacing="0"/>
        <w:jc w:val="both"/>
        <w:rPr>
          <w:highlight w:val="none"/>
        </w:rPr>
      </w:pPr>
      <w:r>
        <w:rPr>
          <w:highlight w:val="none"/>
        </w:rPr>
        <w:t> </w:t>
      </w:r>
    </w:p>
    <w:p w14:paraId="04037430">
      <w:pPr>
        <w:pStyle w:val="14"/>
        <w:spacing w:beforeAutospacing="0" w:afterAutospacing="0"/>
        <w:jc w:val="both"/>
        <w:rPr>
          <w:highlight w:val="none"/>
        </w:rPr>
      </w:pPr>
      <w:r>
        <w:rPr>
          <w:highlight w:val="none"/>
        </w:rPr>
        <w:t> </w:t>
      </w:r>
    </w:p>
    <w:p w14:paraId="781B204C">
      <w:pPr>
        <w:pStyle w:val="14"/>
        <w:spacing w:beforeAutospacing="0" w:afterAutospacing="0"/>
        <w:jc w:val="both"/>
        <w:rPr>
          <w:highlight w:val="none"/>
        </w:rPr>
      </w:pPr>
      <w:r>
        <w:rPr>
          <w:highlight w:val="none"/>
        </w:rPr>
        <w:t> </w:t>
      </w:r>
    </w:p>
    <w:p w14:paraId="267F7F03">
      <w:pPr>
        <w:pStyle w:val="14"/>
        <w:spacing w:beforeAutospacing="0" w:afterAutospacing="0"/>
        <w:jc w:val="both"/>
        <w:rPr>
          <w:highlight w:val="none"/>
        </w:rPr>
      </w:pPr>
      <w:r>
        <w:rPr>
          <w:highlight w:val="none"/>
        </w:rPr>
        <w:t> </w:t>
      </w:r>
    </w:p>
    <w:p w14:paraId="27498963">
      <w:pPr>
        <w:pStyle w:val="14"/>
        <w:spacing w:beforeAutospacing="0" w:afterAutospacing="0"/>
        <w:jc w:val="both"/>
        <w:rPr>
          <w:highlight w:val="none"/>
        </w:rPr>
      </w:pPr>
      <w:r>
        <w:rPr>
          <w:highlight w:val="none"/>
        </w:rPr>
        <w:t> </w:t>
      </w:r>
    </w:p>
    <w:p w14:paraId="46A18BE9">
      <w:pPr>
        <w:pStyle w:val="14"/>
        <w:spacing w:beforeAutospacing="0" w:afterAutospacing="0"/>
        <w:jc w:val="both"/>
        <w:rPr>
          <w:highlight w:val="none"/>
        </w:rPr>
      </w:pPr>
      <w:r>
        <w:rPr>
          <w:highlight w:val="none"/>
        </w:rPr>
        <w:t> </w:t>
      </w:r>
    </w:p>
    <w:p w14:paraId="4328D0A4">
      <w:pPr>
        <w:pStyle w:val="14"/>
        <w:spacing w:beforeAutospacing="0" w:afterAutospacing="0"/>
        <w:jc w:val="both"/>
        <w:rPr>
          <w:highlight w:val="none"/>
        </w:rPr>
      </w:pPr>
      <w:r>
        <w:rPr>
          <w:highlight w:val="none"/>
        </w:rPr>
        <w:t> </w:t>
      </w:r>
    </w:p>
    <w:p w14:paraId="6222989F">
      <w:pPr>
        <w:pStyle w:val="14"/>
        <w:spacing w:beforeAutospacing="0" w:afterAutospacing="0"/>
        <w:jc w:val="both"/>
        <w:rPr>
          <w:highlight w:val="none"/>
        </w:rPr>
      </w:pPr>
      <w:r>
        <w:rPr>
          <w:highlight w:val="none"/>
        </w:rPr>
        <w:t> </w:t>
      </w:r>
    </w:p>
    <w:p w14:paraId="16612821">
      <w:pPr>
        <w:pStyle w:val="14"/>
        <w:spacing w:beforeAutospacing="0" w:afterAutospacing="0"/>
        <w:jc w:val="both"/>
        <w:rPr>
          <w:highlight w:val="none"/>
        </w:rPr>
      </w:pPr>
      <w:r>
        <w:rPr>
          <w:highlight w:val="none"/>
        </w:rPr>
        <w:t> </w:t>
      </w:r>
    </w:p>
    <w:p w14:paraId="34917203">
      <w:pPr>
        <w:pStyle w:val="14"/>
        <w:spacing w:beforeAutospacing="0" w:afterAutospacing="0"/>
        <w:jc w:val="both"/>
        <w:rPr>
          <w:highlight w:val="none"/>
        </w:rPr>
      </w:pPr>
      <w:r>
        <w:rPr>
          <w:highlight w:val="none"/>
        </w:rPr>
        <w:t> </w:t>
      </w:r>
    </w:p>
    <w:p w14:paraId="2132A022">
      <w:pPr>
        <w:pStyle w:val="14"/>
        <w:spacing w:beforeAutospacing="0" w:afterAutospacing="0"/>
        <w:jc w:val="both"/>
        <w:rPr>
          <w:highlight w:val="none"/>
        </w:rPr>
      </w:pPr>
      <w:r>
        <w:rPr>
          <w:highlight w:val="none"/>
        </w:rPr>
        <w:t> </w:t>
      </w:r>
    </w:p>
    <w:p w14:paraId="403C6B04">
      <w:pPr>
        <w:pStyle w:val="14"/>
        <w:spacing w:beforeAutospacing="0" w:afterAutospacing="0"/>
        <w:jc w:val="both"/>
        <w:rPr>
          <w:highlight w:val="none"/>
        </w:rPr>
      </w:pPr>
      <w:r>
        <w:rPr>
          <w:highlight w:val="none"/>
        </w:rPr>
        <w:t> </w:t>
      </w:r>
    </w:p>
    <w:p w14:paraId="4D3F100B">
      <w:pPr>
        <w:pStyle w:val="14"/>
        <w:spacing w:beforeAutospacing="0" w:afterAutospacing="0"/>
        <w:jc w:val="both"/>
        <w:rPr>
          <w:highlight w:val="none"/>
        </w:rPr>
      </w:pPr>
      <w:r>
        <w:rPr>
          <w:highlight w:val="none"/>
        </w:rPr>
        <w:t> </w:t>
      </w:r>
    </w:p>
    <w:p w14:paraId="7F92285B">
      <w:pPr>
        <w:pStyle w:val="14"/>
        <w:spacing w:beforeAutospacing="0" w:afterAutospacing="0"/>
        <w:jc w:val="both"/>
        <w:rPr>
          <w:highlight w:val="none"/>
        </w:rPr>
      </w:pPr>
      <w:r>
        <w:rPr>
          <w:highlight w:val="none"/>
        </w:rPr>
        <w:t> </w:t>
      </w:r>
    </w:p>
    <w:p w14:paraId="1D73C107">
      <w:pPr>
        <w:pStyle w:val="14"/>
        <w:spacing w:beforeAutospacing="0" w:afterAutospacing="0"/>
        <w:jc w:val="both"/>
        <w:rPr>
          <w:highlight w:val="none"/>
        </w:rPr>
      </w:pPr>
      <w:r>
        <w:rPr>
          <w:highlight w:val="none"/>
        </w:rPr>
        <w:t> </w:t>
      </w:r>
    </w:p>
    <w:p w14:paraId="726FF3B9">
      <w:pPr>
        <w:pStyle w:val="14"/>
        <w:spacing w:beforeAutospacing="0" w:afterAutospacing="0"/>
        <w:jc w:val="both"/>
        <w:rPr>
          <w:highlight w:val="none"/>
        </w:rPr>
      </w:pPr>
      <w:r>
        <w:rPr>
          <w:highlight w:val="none"/>
        </w:rPr>
        <w:t> </w:t>
      </w:r>
    </w:p>
    <w:p w14:paraId="2DA54E0E">
      <w:pPr>
        <w:pStyle w:val="14"/>
        <w:spacing w:beforeAutospacing="0" w:afterAutospacing="0"/>
        <w:jc w:val="both"/>
        <w:rPr>
          <w:highlight w:val="none"/>
        </w:rPr>
      </w:pPr>
      <w:r>
        <w:rPr>
          <w:highlight w:val="none"/>
        </w:rPr>
        <w:t> </w:t>
      </w:r>
    </w:p>
    <w:p w14:paraId="20FE1C4E">
      <w:pPr>
        <w:pStyle w:val="14"/>
        <w:spacing w:beforeAutospacing="0" w:afterAutospacing="0"/>
        <w:jc w:val="both"/>
        <w:rPr>
          <w:highlight w:val="none"/>
        </w:rPr>
      </w:pPr>
      <w:r>
        <w:rPr>
          <w:highlight w:val="none"/>
        </w:rPr>
        <w:t> </w:t>
      </w:r>
    </w:p>
    <w:p w14:paraId="2659AB6A">
      <w:pPr>
        <w:pStyle w:val="14"/>
        <w:spacing w:beforeAutospacing="0" w:afterAutospacing="0"/>
        <w:jc w:val="both"/>
        <w:rPr>
          <w:highlight w:val="none"/>
        </w:rPr>
      </w:pPr>
      <w:r>
        <w:rPr>
          <w:highlight w:val="none"/>
        </w:rPr>
        <w:t> </w:t>
      </w:r>
    </w:p>
    <w:p w14:paraId="07F56FFF">
      <w:pPr>
        <w:pStyle w:val="14"/>
        <w:spacing w:beforeAutospacing="0" w:afterAutospacing="0"/>
        <w:jc w:val="both"/>
        <w:rPr>
          <w:highlight w:val="none"/>
        </w:rPr>
      </w:pPr>
      <w:r>
        <w:rPr>
          <w:highlight w:val="none"/>
        </w:rPr>
        <w:t> </w:t>
      </w:r>
    </w:p>
    <w:p w14:paraId="19390A04">
      <w:pPr>
        <w:pStyle w:val="14"/>
        <w:spacing w:beforeAutospacing="0" w:afterAutospacing="0"/>
        <w:jc w:val="both"/>
        <w:rPr>
          <w:highlight w:val="none"/>
        </w:rPr>
      </w:pPr>
      <w:r>
        <w:rPr>
          <w:highlight w:val="none"/>
        </w:rPr>
        <w:t> </w:t>
      </w:r>
    </w:p>
    <w:p w14:paraId="485CAADD">
      <w:pPr>
        <w:pStyle w:val="14"/>
        <w:spacing w:beforeAutospacing="0" w:afterAutospacing="0"/>
        <w:jc w:val="both"/>
        <w:rPr>
          <w:highlight w:val="none"/>
        </w:rPr>
      </w:pPr>
      <w:r>
        <w:rPr>
          <w:highlight w:val="none"/>
        </w:rPr>
        <w:t> </w:t>
      </w:r>
    </w:p>
    <w:p w14:paraId="46154823">
      <w:pPr>
        <w:pStyle w:val="14"/>
        <w:keepNext/>
        <w:spacing w:beforeAutospacing="0" w:afterAutospacing="0"/>
        <w:jc w:val="center"/>
        <w:rPr>
          <w:rFonts w:hint="default" w:eastAsia="黑体"/>
          <w:highlight w:val="none"/>
          <w:lang w:val="en-US" w:eastAsia="zh-CN"/>
        </w:rPr>
      </w:pPr>
      <w:r>
        <w:rPr>
          <w:rFonts w:hint="eastAsia" w:ascii="黑体" w:hAnsi="宋体" w:eastAsia="黑体" w:cs="黑体"/>
          <w:color w:val="000000"/>
          <w:sz w:val="44"/>
          <w:szCs w:val="44"/>
          <w:highlight w:val="none"/>
        </w:rPr>
        <w:t>第一章 </w:t>
      </w:r>
      <w:r>
        <w:rPr>
          <w:rFonts w:hint="eastAsia" w:ascii="黑体" w:hAnsi="宋体" w:eastAsia="黑体" w:cs="黑体"/>
          <w:color w:val="000000"/>
          <w:sz w:val="44"/>
          <w:szCs w:val="44"/>
          <w:highlight w:val="none"/>
          <w:lang w:val="en-US" w:eastAsia="zh-CN"/>
        </w:rPr>
        <w:t>招标公告</w:t>
      </w:r>
    </w:p>
    <w:p w14:paraId="3A37393B">
      <w:pPr>
        <w:pStyle w:val="14"/>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项目概况</w:t>
      </w:r>
    </w:p>
    <w:p w14:paraId="54A8B89E">
      <w:pPr>
        <w:pStyle w:val="14"/>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lang w:eastAsia="zh-CN"/>
        </w:rPr>
        <w:t>2026-2028年盐南市容秩序管理外包服务项目（南海未来城、高铁站等重点标段）</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招标项目的潜在投标人可在</w:t>
      </w:r>
      <w:r>
        <w:rPr>
          <w:rFonts w:hint="eastAsia" w:ascii="宋体" w:hAnsi="宋体" w:eastAsia="宋体" w:cs="宋体"/>
          <w:i w:val="0"/>
          <w:iCs w:val="0"/>
          <w:caps w:val="0"/>
          <w:color w:val="333333"/>
          <w:spacing w:val="0"/>
          <w:sz w:val="24"/>
          <w:szCs w:val="24"/>
          <w:highlight w:val="none"/>
          <w:shd w:val="clear" w:fill="FFFFFF"/>
        </w:rPr>
        <w:t>“苏采云”系统内免费下载（投标人必须在苏采云系统中获取采购文件，方能参与政府采购项目）</w:t>
      </w:r>
      <w:r>
        <w:rPr>
          <w:rFonts w:hint="eastAsia" w:ascii="宋体" w:hAnsi="宋体" w:eastAsia="宋体" w:cs="宋体"/>
          <w:color w:val="000000"/>
          <w:sz w:val="24"/>
          <w:szCs w:val="24"/>
          <w:highlight w:val="none"/>
        </w:rPr>
        <w:t>，并于</w:t>
      </w:r>
      <w:r>
        <w:rPr>
          <w:rFonts w:hint="eastAsia" w:ascii="宋体" w:hAnsi="宋体" w:eastAsia="宋体" w:cs="宋体"/>
          <w:color w:val="000000"/>
          <w:sz w:val="24"/>
          <w:szCs w:val="24"/>
          <w:highlight w:val="none"/>
          <w:u w:val="single"/>
          <w:lang w:val="en-US" w:eastAsia="zh-CN"/>
        </w:rPr>
        <w:t>2026</w:t>
      </w:r>
      <w:r>
        <w:rPr>
          <w:rFonts w:hint="eastAsia" w:ascii="宋体" w:hAnsi="宋体" w:eastAsia="宋体" w:cs="宋体"/>
          <w:color w:val="000000"/>
          <w:sz w:val="24"/>
          <w:szCs w:val="24"/>
          <w:highlight w:val="none"/>
          <w:u w:val="single"/>
        </w:rPr>
        <w:t>年</w:t>
      </w:r>
      <w:r>
        <w:rPr>
          <w:rFonts w:hint="eastAsia" w:ascii="宋体" w:hAnsi="宋体" w:eastAsia="宋体" w:cs="宋体"/>
          <w:color w:val="000000"/>
          <w:sz w:val="24"/>
          <w:szCs w:val="24"/>
          <w:highlight w:val="none"/>
          <w:u w:val="single"/>
          <w:lang w:val="en-US" w:eastAsia="zh-CN"/>
        </w:rPr>
        <w:t>3</w:t>
      </w:r>
      <w:r>
        <w:rPr>
          <w:rFonts w:hint="eastAsia" w:ascii="宋体" w:hAnsi="宋体" w:eastAsia="宋体" w:cs="宋体"/>
          <w:color w:val="000000"/>
          <w:sz w:val="24"/>
          <w:szCs w:val="24"/>
          <w:highlight w:val="none"/>
          <w:u w:val="single"/>
        </w:rPr>
        <w:t>月</w:t>
      </w:r>
      <w:r>
        <w:rPr>
          <w:rFonts w:hint="eastAsia" w:ascii="宋体" w:hAnsi="宋体" w:eastAsia="宋体" w:cs="宋体"/>
          <w:color w:val="000000"/>
          <w:sz w:val="24"/>
          <w:szCs w:val="24"/>
          <w:highlight w:val="none"/>
          <w:u w:val="single"/>
          <w:lang w:val="en-US" w:eastAsia="zh-CN"/>
        </w:rPr>
        <w:t>31</w:t>
      </w:r>
      <w:r>
        <w:rPr>
          <w:rFonts w:hint="eastAsia" w:ascii="宋体" w:hAnsi="宋体" w:eastAsia="宋体" w:cs="宋体"/>
          <w:color w:val="000000"/>
          <w:sz w:val="24"/>
          <w:szCs w:val="24"/>
          <w:highlight w:val="none"/>
          <w:u w:val="single"/>
        </w:rPr>
        <w:t>日</w:t>
      </w:r>
      <w:r>
        <w:rPr>
          <w:rFonts w:hint="eastAsia" w:ascii="宋体" w:hAnsi="宋体" w:eastAsia="宋体" w:cs="宋体"/>
          <w:color w:val="000000"/>
          <w:sz w:val="24"/>
          <w:szCs w:val="24"/>
          <w:highlight w:val="none"/>
          <w:u w:val="single"/>
          <w:lang w:val="en-US" w:eastAsia="zh-CN"/>
        </w:rPr>
        <w:t>09</w:t>
      </w:r>
      <w:r>
        <w:rPr>
          <w:rFonts w:hint="eastAsia" w:ascii="宋体" w:hAnsi="宋体" w:eastAsia="宋体" w:cs="宋体"/>
          <w:color w:val="000000"/>
          <w:sz w:val="24"/>
          <w:szCs w:val="24"/>
          <w:highlight w:val="none"/>
          <w:u w:val="single"/>
        </w:rPr>
        <w:t>点</w:t>
      </w:r>
      <w:r>
        <w:rPr>
          <w:rFonts w:hint="eastAsia" w:ascii="宋体" w:hAnsi="宋体" w:eastAsia="宋体" w:cs="宋体"/>
          <w:color w:val="000000"/>
          <w:sz w:val="24"/>
          <w:szCs w:val="24"/>
          <w:highlight w:val="none"/>
          <w:u w:val="single"/>
          <w:lang w:val="en-US" w:eastAsia="zh-CN"/>
        </w:rPr>
        <w:t>0</w:t>
      </w:r>
      <w:r>
        <w:rPr>
          <w:rFonts w:hint="eastAsia" w:ascii="宋体" w:hAnsi="宋体" w:eastAsia="宋体" w:cs="宋体"/>
          <w:color w:val="000000"/>
          <w:sz w:val="24"/>
          <w:szCs w:val="24"/>
          <w:highlight w:val="none"/>
          <w:u w:val="single"/>
          <w:lang w:val="en-US" w:eastAsia="zh-CN"/>
        </w:rPr>
        <w:t>0</w:t>
      </w:r>
      <w:r>
        <w:rPr>
          <w:rFonts w:hint="eastAsia" w:ascii="宋体" w:hAnsi="宋体" w:eastAsia="宋体" w:cs="宋体"/>
          <w:color w:val="000000"/>
          <w:sz w:val="24"/>
          <w:szCs w:val="24"/>
          <w:highlight w:val="none"/>
          <w:u w:val="single"/>
        </w:rPr>
        <w:t>分（</w:t>
      </w:r>
      <w:r>
        <w:rPr>
          <w:rFonts w:hint="eastAsia" w:ascii="宋体" w:hAnsi="宋体" w:eastAsia="宋体" w:cs="宋体"/>
          <w:color w:val="000000"/>
          <w:sz w:val="24"/>
          <w:szCs w:val="24"/>
          <w:highlight w:val="none"/>
        </w:rPr>
        <w:t>北京时间）前递交投标文件。</w:t>
      </w:r>
    </w:p>
    <w:p w14:paraId="5C0F5791">
      <w:pPr>
        <w:pStyle w:val="14"/>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6" w:name="_Toc28359079"/>
      <w:bookmarkStart w:id="7" w:name="_Toc28359002"/>
      <w:bookmarkStart w:id="8" w:name="_Toc35393621"/>
      <w:bookmarkStart w:id="9" w:name="_Toc38985263"/>
      <w:bookmarkStart w:id="10" w:name="_Toc35393790"/>
      <w:bookmarkStart w:id="11" w:name="_Hlk24379207"/>
      <w:r>
        <w:rPr>
          <w:rFonts w:hint="eastAsia" w:ascii="宋体" w:hAnsi="宋体" w:eastAsia="宋体" w:cs="宋体"/>
          <w:b/>
          <w:color w:val="000000"/>
          <w:sz w:val="24"/>
          <w:szCs w:val="24"/>
          <w:highlight w:val="none"/>
        </w:rPr>
        <w:t>一、项目基本情况</w:t>
      </w:r>
      <w:bookmarkEnd w:id="6"/>
      <w:bookmarkEnd w:id="7"/>
      <w:bookmarkEnd w:id="8"/>
      <w:bookmarkEnd w:id="9"/>
      <w:bookmarkEnd w:id="10"/>
      <w:bookmarkEnd w:id="11"/>
    </w:p>
    <w:p w14:paraId="6E8C93EC">
      <w:pPr>
        <w:pStyle w:val="14"/>
        <w:spacing w:beforeAutospacing="0" w:afterAutospacing="0" w:line="240" w:lineRule="auto"/>
        <w:ind w:firstLine="480"/>
        <w:jc w:val="both"/>
        <w:rPr>
          <w:rFonts w:hint="default" w:ascii="宋体" w:hAnsi="宋体" w:eastAsia="宋体" w:cs="宋体"/>
          <w:color w:val="000000"/>
          <w:sz w:val="24"/>
          <w:szCs w:val="24"/>
          <w:highlight w:val="yellow"/>
          <w:lang w:val="en-US"/>
        </w:rPr>
      </w:pPr>
      <w:r>
        <w:rPr>
          <w:rFonts w:hint="eastAsia" w:ascii="宋体" w:hAnsi="宋体" w:eastAsia="宋体" w:cs="宋体"/>
          <w:color w:val="000000"/>
          <w:sz w:val="24"/>
          <w:szCs w:val="24"/>
          <w:highlight w:val="none"/>
        </w:rPr>
        <w:t>1.项目编号：</w:t>
      </w:r>
      <w:r>
        <w:rPr>
          <w:rFonts w:hint="eastAsia" w:ascii="宋体" w:hAnsi="宋体" w:eastAsia="宋体" w:cs="宋体"/>
          <w:i w:val="0"/>
          <w:iCs w:val="0"/>
          <w:caps w:val="0"/>
          <w:color w:val="333333"/>
          <w:spacing w:val="0"/>
          <w:sz w:val="24"/>
          <w:szCs w:val="24"/>
          <w:highlight w:val="none"/>
          <w:shd w:val="clear" w:fill="FFFFFF"/>
          <w:lang w:val="en-US" w:eastAsia="zh-CN"/>
        </w:rPr>
        <w:t>JSZC-320992-KSPZ-G2026-0003</w:t>
      </w:r>
    </w:p>
    <w:p w14:paraId="3FE50455">
      <w:pPr>
        <w:pStyle w:val="14"/>
        <w:spacing w:before="120" w:beforeAutospacing="0" w:after="120" w:afterAutospacing="0" w:line="24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2.项目名称：</w:t>
      </w:r>
      <w:r>
        <w:rPr>
          <w:rFonts w:hint="eastAsia" w:ascii="宋体" w:hAnsi="宋体" w:eastAsia="宋体" w:cs="宋体"/>
          <w:color w:val="000000"/>
          <w:sz w:val="24"/>
          <w:szCs w:val="24"/>
          <w:highlight w:val="none"/>
          <w:lang w:val="en-US" w:eastAsia="zh-CN"/>
        </w:rPr>
        <w:t>2026-2028年盐南市容秩序管理外包服务项目（南海未来城、高铁站等重点标段）</w:t>
      </w:r>
    </w:p>
    <w:p w14:paraId="35EBDC8A">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3.</w:t>
      </w:r>
      <w:r>
        <w:rPr>
          <w:rFonts w:hint="eastAsia" w:ascii="宋体" w:hAnsi="宋体" w:eastAsia="宋体" w:cs="宋体"/>
          <w:i w:val="0"/>
          <w:iCs w:val="0"/>
          <w:caps w:val="0"/>
          <w:color w:val="333333"/>
          <w:spacing w:val="0"/>
          <w:sz w:val="24"/>
          <w:szCs w:val="24"/>
          <w:highlight w:val="none"/>
          <w:shd w:val="clear" w:fill="FFFFFF"/>
        </w:rPr>
        <w:t>采购方式：</w:t>
      </w:r>
      <w:r>
        <w:rPr>
          <w:rFonts w:hint="eastAsia" w:ascii="宋体" w:hAnsi="宋体" w:eastAsia="宋体" w:cs="宋体"/>
          <w:i w:val="0"/>
          <w:iCs w:val="0"/>
          <w:caps w:val="0"/>
          <w:color w:val="333333"/>
          <w:spacing w:val="0"/>
          <w:sz w:val="24"/>
          <w:szCs w:val="24"/>
          <w:highlight w:val="none"/>
          <w:shd w:val="clear" w:fill="FFFFFF"/>
          <w:lang w:val="en-US" w:eastAsia="zh-CN"/>
        </w:rPr>
        <w:t>公开招标</w:t>
      </w:r>
    </w:p>
    <w:p w14:paraId="45211976">
      <w:pPr>
        <w:pStyle w:val="14"/>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.预算金额：</w:t>
      </w:r>
      <w:r>
        <w:rPr>
          <w:rFonts w:hint="eastAsia" w:ascii="宋体" w:hAnsi="宋体" w:eastAsia="宋体" w:cs="宋体"/>
          <w:color w:val="000000"/>
          <w:sz w:val="24"/>
          <w:szCs w:val="24"/>
          <w:highlight w:val="none"/>
          <w:lang w:val="en-US" w:eastAsia="zh-CN"/>
        </w:rPr>
        <w:t>287.1万</w:t>
      </w:r>
      <w:r>
        <w:rPr>
          <w:rFonts w:hint="eastAsia" w:ascii="宋体" w:hAnsi="宋体" w:eastAsia="宋体" w:cs="宋体"/>
          <w:color w:val="000000"/>
          <w:sz w:val="24"/>
          <w:szCs w:val="24"/>
          <w:highlight w:val="none"/>
        </w:rPr>
        <w:t>元</w:t>
      </w:r>
    </w:p>
    <w:p w14:paraId="638F2993">
      <w:pPr>
        <w:pStyle w:val="14"/>
        <w:spacing w:beforeAutospacing="0" w:afterAutospacing="0" w:line="360" w:lineRule="auto"/>
        <w:ind w:firstLine="480"/>
        <w:jc w:val="both"/>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最高限价：</w:t>
      </w:r>
      <w:r>
        <w:rPr>
          <w:rFonts w:hint="eastAsia" w:ascii="宋体" w:hAnsi="宋体" w:eastAsia="宋体" w:cs="宋体"/>
          <w:color w:val="000000"/>
          <w:sz w:val="24"/>
          <w:szCs w:val="24"/>
          <w:highlight w:val="none"/>
          <w:lang w:val="en-US" w:eastAsia="zh-CN"/>
        </w:rPr>
        <w:t>2871000.00元</w:t>
      </w:r>
    </w:p>
    <w:p w14:paraId="2F3263F6">
      <w:pPr>
        <w:pStyle w:val="14"/>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.采购需求：</w:t>
      </w:r>
      <w:r>
        <w:rPr>
          <w:rFonts w:hint="eastAsia" w:ascii="宋体" w:hAnsi="宋体" w:eastAsia="宋体" w:cs="宋体"/>
          <w:color w:val="000000"/>
          <w:sz w:val="24"/>
          <w:szCs w:val="24"/>
          <w:highlight w:val="none"/>
          <w:lang w:val="en-US" w:eastAsia="zh-CN"/>
        </w:rPr>
        <w:t>2026-2028年盐南市容秩序管理外包服务项目（南海未来城、高铁站等重点标段）</w:t>
      </w:r>
      <w:r>
        <w:rPr>
          <w:rFonts w:hint="eastAsia" w:ascii="宋体" w:hAnsi="宋体" w:eastAsia="宋体" w:cs="宋体"/>
          <w:color w:val="000000"/>
          <w:sz w:val="24"/>
          <w:szCs w:val="24"/>
          <w:highlight w:val="none"/>
          <w:lang w:eastAsia="zh-CN"/>
        </w:rPr>
        <w:t>，</w:t>
      </w:r>
      <w:r>
        <w:rPr>
          <w:rFonts w:hint="eastAsia" w:ascii="宋体" w:hAnsi="宋体" w:cs="宋体"/>
          <w:color w:val="auto"/>
          <w:sz w:val="24"/>
          <w:szCs w:val="24"/>
          <w:highlight w:val="none"/>
        </w:rPr>
        <w:t>具体详见招标文件采购需求。</w:t>
      </w:r>
    </w:p>
    <w:p w14:paraId="4B123BC4">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.合同履行期限</w:t>
      </w:r>
      <w:r>
        <w:rPr>
          <w:rFonts w:hint="eastAsia" w:ascii="宋体" w:hAnsi="宋体" w:eastAsia="宋体" w:cs="宋体"/>
          <w:color w:val="000000"/>
          <w:kern w:val="0"/>
          <w:sz w:val="24"/>
          <w:szCs w:val="24"/>
          <w:highlight w:val="none"/>
          <w:lang w:val="en-US" w:eastAsia="zh-CN" w:bidi="ar-SA"/>
        </w:rPr>
        <w:t>：本项目服务期24个月，从2026年4月至2028年4月，合同一年一签，每年服务合同期满</w:t>
      </w:r>
      <w:r>
        <w:rPr>
          <w:rFonts w:hint="eastAsia" w:ascii="宋体" w:hAnsi="宋体" w:eastAsia="宋体" w:cs="宋体"/>
          <w:color w:val="000000" w:themeColor="text1"/>
          <w:sz w:val="24"/>
          <w:szCs w:val="24"/>
          <w14:textFill>
            <w14:solidFill>
              <w14:schemeClr w14:val="tx1"/>
            </w14:solidFill>
          </w14:textFill>
        </w:rPr>
        <w:t>后并经采购人考核合格可续签本合同</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续签一次</w:t>
      </w:r>
      <w:r>
        <w:rPr>
          <w:rFonts w:hint="eastAsia" w:ascii="宋体" w:hAnsi="宋体" w:eastAsia="宋体" w:cs="宋体"/>
          <w:color w:val="000000" w:themeColor="text1"/>
          <w:sz w:val="24"/>
          <w:szCs w:val="24"/>
          <w14:textFill>
            <w14:solidFill>
              <w14:schemeClr w14:val="tx1"/>
            </w14:solidFill>
          </w14:textFill>
        </w:rPr>
        <w:t>；如经采购人考核不合格，采购人有权终止合同，重新组织招标。如因盐南高新技术产业开发区政府的城市管理工作管辖权的调整，采购人可无条件终止合同。注:服务期限内，经采购人考核服务质量达不到采购人要求</w:t>
      </w:r>
      <w:r>
        <w:rPr>
          <w:rFonts w:hint="eastAsia" w:ascii="宋体" w:hAnsi="宋体" w:eastAsia="宋体" w:cs="宋体"/>
          <w:color w:val="000000" w:themeColor="text1"/>
          <w:sz w:val="24"/>
          <w:szCs w:val="24"/>
          <w:lang w:eastAsia="zh-CN"/>
          <w14:textFill>
            <w14:solidFill>
              <w14:schemeClr w14:val="tx1"/>
            </w14:solidFill>
          </w14:textFill>
        </w:rPr>
        <w:t>或</w:t>
      </w:r>
      <w:r>
        <w:rPr>
          <w:rFonts w:hint="eastAsia" w:ascii="宋体" w:hAnsi="宋体" w:eastAsia="宋体" w:cs="宋体"/>
          <w:color w:val="000000" w:themeColor="text1"/>
          <w:sz w:val="24"/>
          <w:szCs w:val="24"/>
          <w14:textFill>
            <w14:solidFill>
              <w14:schemeClr w14:val="tx1"/>
            </w14:solidFill>
          </w14:textFill>
        </w:rPr>
        <w:t>不服从采购人安排的，采购人有权终止合同)。</w:t>
      </w:r>
    </w:p>
    <w:p w14:paraId="03DB385A">
      <w:pPr>
        <w:autoSpaceDE w:val="0"/>
        <w:autoSpaceDN w:val="0"/>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质量要求：达到国家相关标准及招标人要求(详见招标人考核办法)。</w:t>
      </w:r>
    </w:p>
    <w:p w14:paraId="52432C18">
      <w:pPr>
        <w:autoSpaceDE w:val="0"/>
        <w:autoSpaceDN w:val="0"/>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本项目</w:t>
      </w:r>
      <w:r>
        <w:rPr>
          <w:rFonts w:hint="eastAsia" w:ascii="宋体" w:hAnsi="宋体" w:eastAsia="宋体" w:cs="宋体"/>
          <w:color w:val="000000"/>
          <w:sz w:val="24"/>
          <w:szCs w:val="24"/>
          <w:highlight w:val="none"/>
          <w:lang w:eastAsia="zh-CN"/>
        </w:rPr>
        <w:t>不</w:t>
      </w:r>
      <w:r>
        <w:rPr>
          <w:rFonts w:hint="eastAsia" w:ascii="宋体" w:hAnsi="宋体" w:eastAsia="宋体" w:cs="宋体"/>
          <w:color w:val="000000"/>
          <w:sz w:val="24"/>
          <w:szCs w:val="24"/>
          <w:highlight w:val="none"/>
        </w:rPr>
        <w:t>接受联合体</w:t>
      </w:r>
      <w:r>
        <w:rPr>
          <w:rFonts w:hint="eastAsia" w:ascii="宋体" w:hAnsi="宋体" w:eastAsia="宋体" w:cs="宋体"/>
          <w:color w:val="000000"/>
          <w:sz w:val="24"/>
          <w:szCs w:val="24"/>
          <w:highlight w:val="none"/>
          <w:lang w:eastAsia="zh-CN"/>
        </w:rPr>
        <w:t>投</w:t>
      </w:r>
      <w:r>
        <w:rPr>
          <w:rFonts w:hint="eastAsia" w:ascii="宋体" w:hAnsi="宋体" w:eastAsia="宋体" w:cs="宋体"/>
          <w:color w:val="000000"/>
          <w:sz w:val="24"/>
          <w:szCs w:val="24"/>
          <w:highlight w:val="none"/>
          <w:lang w:val="en-US" w:eastAsia="zh-CN"/>
        </w:rPr>
        <w:t>标。</w:t>
      </w:r>
    </w:p>
    <w:p w14:paraId="0D95F988">
      <w:pPr>
        <w:pStyle w:val="14"/>
        <w:spacing w:beforeAutospacing="0" w:afterAutospacing="0" w:line="360" w:lineRule="auto"/>
        <w:ind w:firstLine="480"/>
        <w:jc w:val="both"/>
        <w:rPr>
          <w:rFonts w:hint="eastAsia" w:ascii="宋体" w:hAnsi="宋体" w:eastAsia="宋体" w:cs="宋体"/>
          <w:b/>
          <w:bCs/>
          <w:color w:val="000000"/>
          <w:sz w:val="24"/>
          <w:szCs w:val="24"/>
          <w:highlight w:val="none"/>
          <w:lang w:val="en-US" w:eastAsia="zh-CN"/>
        </w:rPr>
      </w:pPr>
      <w:bookmarkStart w:id="12" w:name="_Toc35393622"/>
      <w:bookmarkStart w:id="13" w:name="_Toc28359080"/>
      <w:bookmarkStart w:id="14" w:name="_Toc35393791"/>
      <w:bookmarkStart w:id="15" w:name="_Toc38985264"/>
      <w:bookmarkStart w:id="16" w:name="_Toc28359003"/>
      <w:r>
        <w:rPr>
          <w:rFonts w:hint="eastAsia" w:ascii="宋体" w:hAnsi="宋体" w:eastAsia="宋体" w:cs="宋体"/>
          <w:b/>
          <w:bCs/>
          <w:color w:val="000000"/>
          <w:sz w:val="24"/>
          <w:szCs w:val="24"/>
          <w:highlight w:val="none"/>
          <w:lang w:val="en-US" w:eastAsia="zh-CN"/>
        </w:rPr>
        <w:t>二、申请人的资格要求：</w:t>
      </w:r>
      <w:bookmarkEnd w:id="12"/>
      <w:bookmarkEnd w:id="13"/>
      <w:bookmarkEnd w:id="14"/>
      <w:bookmarkEnd w:id="15"/>
      <w:bookmarkEnd w:id="16"/>
    </w:p>
    <w:p w14:paraId="1D22B421">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1.满足《中华人民共和国政府采购法》第二十二条规定，并提供下列材料：</w:t>
      </w:r>
    </w:p>
    <w:p w14:paraId="3839587F">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 法人或者其他组织的营业执照等证明文件，自然人的身份证明；</w:t>
      </w:r>
    </w:p>
    <w:p w14:paraId="747B7FCD">
      <w:pPr>
        <w:pStyle w:val="14"/>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1.2上一年度的财务状况报</w:t>
      </w:r>
      <w:r>
        <w:rPr>
          <w:rFonts w:hint="eastAsia" w:ascii="宋体" w:hAnsi="宋体" w:eastAsia="宋体" w:cs="宋体"/>
          <w:color w:val="000000"/>
          <w:sz w:val="24"/>
          <w:szCs w:val="24"/>
          <w:highlight w:val="none"/>
          <w:lang w:val="en-US" w:eastAsia="zh-CN"/>
        </w:rPr>
        <w:t>告</w:t>
      </w:r>
      <w:r>
        <w:rPr>
          <w:rFonts w:hint="eastAsia" w:ascii="宋体" w:hAnsi="宋体" w:eastAsia="宋体" w:cs="宋体"/>
          <w:color w:val="000000"/>
          <w:sz w:val="24"/>
          <w:szCs w:val="24"/>
          <w:highlight w:val="none"/>
        </w:rPr>
        <w:t>（成立不满一年无需提供）；</w:t>
      </w:r>
    </w:p>
    <w:p w14:paraId="1459E6E0">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1.3</w:t>
      </w:r>
      <w:r>
        <w:rPr>
          <w:rFonts w:hint="eastAsia" w:ascii="宋体" w:hAnsi="宋体" w:eastAsia="宋体" w:cs="宋体"/>
          <w:color w:val="000000"/>
          <w:sz w:val="24"/>
          <w:szCs w:val="24"/>
          <w:highlight w:val="none"/>
        </w:rPr>
        <w:t>具备履行合同所必需的设备和专业技术能力的书面声明；</w:t>
      </w:r>
    </w:p>
    <w:p w14:paraId="73D70B27">
      <w:pPr>
        <w:pStyle w:val="14"/>
        <w:spacing w:beforeAutospacing="0" w:afterAutospacing="0" w:line="360" w:lineRule="auto"/>
        <w:ind w:firstLine="48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1905CC55">
      <w:pPr>
        <w:pStyle w:val="14"/>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.5参加政府采购活动前3年内在经营活动中没有重大违法记录的书面声明。</w:t>
      </w:r>
    </w:p>
    <w:p w14:paraId="48E03DAE">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1.6法律、行政法规规定的其他条件。</w:t>
      </w:r>
    </w:p>
    <w:p w14:paraId="359C15D0">
      <w:pPr>
        <w:pStyle w:val="14"/>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1.7</w:t>
      </w:r>
      <w:r>
        <w:rPr>
          <w:rFonts w:hint="eastAsia" w:ascii="宋体" w:hAnsi="宋体" w:eastAsia="宋体" w:cs="宋体"/>
          <w:color w:val="000000"/>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7A41D00">
      <w:pPr>
        <w:pStyle w:val="14"/>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1.8</w:t>
      </w:r>
      <w:r>
        <w:rPr>
          <w:rFonts w:hint="eastAsia" w:ascii="宋体" w:hAnsi="宋体" w:eastAsia="宋体" w:cs="宋体"/>
          <w:color w:val="000000"/>
          <w:sz w:val="24"/>
          <w:szCs w:val="24"/>
          <w:highlight w:val="none"/>
        </w:rPr>
        <w:t>单位负责人为同一人或者存在直接控股、管理关系的不同供应商，不得参加同一合同项下的政府采购活动。</w:t>
      </w:r>
    </w:p>
    <w:p w14:paraId="2093EFAE">
      <w:pPr>
        <w:pStyle w:val="14"/>
        <w:pageBreakBefore w:val="0"/>
        <w:numPr>
          <w:ilvl w:val="0"/>
          <w:numId w:val="0"/>
        </w:numPr>
        <w:spacing w:beforeAutospacing="0" w:afterAutospacing="0" w:line="460" w:lineRule="exact"/>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落实政府采购政策需满足的资格要求：</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w:t>
      </w:r>
    </w:p>
    <w:p w14:paraId="5BCF5541">
      <w:pPr>
        <w:pStyle w:val="14"/>
        <w:spacing w:beforeAutospacing="0" w:afterAutospacing="0" w:line="360" w:lineRule="auto"/>
        <w:ind w:firstLine="48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本项目的特定资格要求</w:t>
      </w:r>
      <w:r>
        <w:rPr>
          <w:rFonts w:hint="eastAsia" w:ascii="宋体" w:hAnsi="宋体" w:eastAsia="宋体" w:cs="宋体"/>
          <w:color w:val="000000"/>
          <w:sz w:val="24"/>
          <w:szCs w:val="24"/>
          <w:highlight w:val="none"/>
          <w:lang w:eastAsia="zh-CN"/>
        </w:rPr>
        <w:t>：</w:t>
      </w:r>
    </w:p>
    <w:p w14:paraId="09131955">
      <w:pPr>
        <w:pStyle w:val="14"/>
        <w:spacing w:beforeAutospacing="0" w:afterAutospacing="0" w:line="360" w:lineRule="auto"/>
        <w:ind w:firstLine="480" w:firstLineChars="200"/>
        <w:jc w:val="both"/>
        <w:rPr>
          <w:rFonts w:hint="eastAsia" w:ascii="宋体" w:hAnsi="宋体" w:cs="宋体"/>
          <w:color w:val="auto"/>
          <w:highlight w:val="none"/>
          <w:lang w:eastAsia="zh-CN"/>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1</w:t>
      </w:r>
      <w:r>
        <w:rPr>
          <w:rFonts w:hint="eastAsia" w:ascii="宋体" w:hAnsi="宋体" w:cs="宋体"/>
          <w:color w:val="auto"/>
          <w:highlight w:val="none"/>
          <w:lang w:eastAsia="zh-CN"/>
        </w:rPr>
        <w:t>）投标人具有省级及以上公安部门核发的保安服务许可证。</w:t>
      </w:r>
    </w:p>
    <w:p w14:paraId="63754E56">
      <w:pPr>
        <w:pStyle w:val="14"/>
        <w:spacing w:beforeAutospacing="0" w:afterAutospacing="0" w:line="360" w:lineRule="auto"/>
        <w:ind w:firstLine="480"/>
        <w:jc w:val="both"/>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三、获取招标文件</w:t>
      </w:r>
    </w:p>
    <w:p w14:paraId="15F91AA5">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SA"/>
        </w:rPr>
      </w:pPr>
      <w:bookmarkStart w:id="17" w:name="_Toc35393624"/>
      <w:bookmarkStart w:id="18" w:name="_Toc35393793"/>
      <w:bookmarkStart w:id="19" w:name="_Toc28359005"/>
      <w:bookmarkStart w:id="20" w:name="_Toc38985266"/>
      <w:bookmarkStart w:id="21" w:name="_Toc28359082"/>
      <w:r>
        <w:rPr>
          <w:rFonts w:hint="eastAsia" w:ascii="宋体" w:hAnsi="宋体" w:eastAsia="宋体" w:cs="宋体"/>
          <w:color w:val="000000"/>
          <w:sz w:val="24"/>
          <w:szCs w:val="24"/>
          <w:highlight w:val="none"/>
        </w:rPr>
        <w:t>1.时间</w:t>
      </w:r>
      <w:r>
        <w:rPr>
          <w:rFonts w:hint="eastAsia" w:ascii="宋体" w:hAnsi="宋体" w:eastAsia="宋体" w:cs="宋体"/>
          <w:color w:val="000000"/>
          <w:kern w:val="0"/>
          <w:sz w:val="24"/>
          <w:szCs w:val="24"/>
          <w:highlight w:val="none"/>
          <w:lang w:val="en-US" w:eastAsia="zh-CN" w:bidi="ar-SA"/>
        </w:rPr>
        <w:t>：</w:t>
      </w:r>
      <w:bookmarkEnd w:id="17"/>
      <w:bookmarkEnd w:id="18"/>
      <w:bookmarkEnd w:id="19"/>
      <w:bookmarkEnd w:id="20"/>
      <w:bookmarkEnd w:id="21"/>
      <w:r>
        <w:rPr>
          <w:rFonts w:hint="eastAsia" w:ascii="宋体" w:hAnsi="宋体" w:eastAsia="宋体" w:cs="宋体"/>
          <w:color w:val="000000"/>
          <w:kern w:val="0"/>
          <w:sz w:val="24"/>
          <w:szCs w:val="24"/>
          <w:highlight w:val="none"/>
          <w:lang w:val="en-US" w:eastAsia="zh-CN" w:bidi="ar-SA"/>
        </w:rPr>
        <w:t>自招标文件公告发布之日起5个工作日。</w:t>
      </w:r>
    </w:p>
    <w:p w14:paraId="3FE7E4A2">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2.地点：“苏采云”系统内免费下载（投标人必须在苏采云系统中获取采购文件，方能参与政府采购项目）；</w:t>
      </w:r>
    </w:p>
    <w:p w14:paraId="1CD7F0EF">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3.方式：本项目采用网上注册登记方式。 </w:t>
      </w:r>
    </w:p>
    <w:p w14:paraId="31F3C5CF">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4.售价：0元</w:t>
      </w:r>
    </w:p>
    <w:p w14:paraId="48944B76">
      <w:pPr>
        <w:pStyle w:val="14"/>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四、提交投标文件截止时间、开标时间和地点</w:t>
      </w:r>
    </w:p>
    <w:p w14:paraId="643A3E2E">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sz w:val="24"/>
          <w:szCs w:val="24"/>
          <w:highlight w:val="none"/>
        </w:rPr>
        <w:t>1.</w:t>
      </w:r>
      <w:r>
        <w:rPr>
          <w:rFonts w:hint="eastAsia" w:ascii="宋体" w:hAnsi="宋体" w:eastAsia="宋体" w:cs="宋体"/>
          <w:color w:val="000000"/>
          <w:kern w:val="0"/>
          <w:sz w:val="24"/>
          <w:szCs w:val="24"/>
          <w:highlight w:val="none"/>
          <w:lang w:val="en-US" w:eastAsia="zh-CN" w:bidi="ar-SA"/>
        </w:rPr>
        <w:t>时间：2026年3月31日</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9:00时</w:t>
      </w:r>
      <w:r>
        <w:rPr>
          <w:rFonts w:hint="eastAsia" w:ascii="宋体" w:hAnsi="宋体" w:eastAsia="宋体" w:cs="宋体"/>
          <w:color w:val="000000"/>
          <w:kern w:val="0"/>
          <w:sz w:val="24"/>
          <w:szCs w:val="24"/>
          <w:highlight w:val="none"/>
          <w:lang w:val="en-US" w:eastAsia="zh-CN" w:bidi="ar-SA"/>
        </w:rPr>
        <w:t>（北京时间）</w:t>
      </w:r>
    </w:p>
    <w:p w14:paraId="2DD14093">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2.地点：苏采云“不见面”开标大厅 。</w:t>
      </w:r>
    </w:p>
    <w:p w14:paraId="24E0C040">
      <w:pPr>
        <w:pStyle w:val="14"/>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22" w:name="_Toc28359007"/>
      <w:bookmarkStart w:id="23" w:name="_Toc35393794"/>
      <w:bookmarkStart w:id="24" w:name="_Toc35393625"/>
      <w:bookmarkStart w:id="25" w:name="_Toc38985267"/>
      <w:bookmarkStart w:id="26" w:name="_Toc28359084"/>
      <w:r>
        <w:rPr>
          <w:rFonts w:hint="eastAsia" w:ascii="宋体" w:hAnsi="宋体" w:eastAsia="宋体" w:cs="宋体"/>
          <w:b/>
          <w:color w:val="000000"/>
          <w:sz w:val="24"/>
          <w:szCs w:val="24"/>
          <w:highlight w:val="none"/>
        </w:rPr>
        <w:t>五、公告期限</w:t>
      </w:r>
      <w:bookmarkEnd w:id="22"/>
      <w:bookmarkEnd w:id="23"/>
      <w:bookmarkEnd w:id="24"/>
      <w:bookmarkEnd w:id="25"/>
      <w:bookmarkEnd w:id="26"/>
    </w:p>
    <w:p w14:paraId="7C2197F9">
      <w:pPr>
        <w:pStyle w:val="1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bookmarkStart w:id="27" w:name="_Toc35393626"/>
      <w:bookmarkStart w:id="28" w:name="_Toc35393795"/>
      <w:bookmarkStart w:id="29" w:name="_Toc38985268"/>
      <w:r>
        <w:rPr>
          <w:rFonts w:hint="eastAsia" w:ascii="宋体" w:hAnsi="宋体" w:eastAsia="宋体" w:cs="宋体"/>
          <w:i w:val="0"/>
          <w:iCs w:val="0"/>
          <w:caps w:val="0"/>
          <w:color w:val="333333"/>
          <w:spacing w:val="0"/>
          <w:sz w:val="24"/>
          <w:szCs w:val="24"/>
          <w:highlight w:val="none"/>
          <w:shd w:val="clear" w:fill="FFFFFF"/>
          <w:lang w:val="en-US" w:eastAsia="zh-CN"/>
        </w:rPr>
        <w:t>自本公告发布之日起5个工作日。</w:t>
      </w:r>
      <w:bookmarkEnd w:id="27"/>
      <w:bookmarkEnd w:id="28"/>
      <w:bookmarkEnd w:id="29"/>
    </w:p>
    <w:p w14:paraId="637476BB">
      <w:pPr>
        <w:pStyle w:val="14"/>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六、其他补充事宜</w:t>
      </w:r>
    </w:p>
    <w:p w14:paraId="2A0228E5">
      <w:pPr>
        <w:pStyle w:val="1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bookmarkStart w:id="30" w:name="_Toc28359018"/>
      <w:r>
        <w:rPr>
          <w:rFonts w:hint="eastAsia" w:ascii="宋体" w:hAnsi="宋体" w:eastAsia="宋体" w:cs="宋体"/>
          <w:i w:val="0"/>
          <w:iCs w:val="0"/>
          <w:caps w:val="0"/>
          <w:color w:val="333333"/>
          <w:spacing w:val="0"/>
          <w:sz w:val="24"/>
          <w:szCs w:val="24"/>
          <w:highlight w:val="none"/>
          <w:shd w:val="clear"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93E042C">
      <w:pPr>
        <w:pStyle w:val="1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领取CA和办理电子签章（请至</w:t>
      </w:r>
      <w:r>
        <w:rPr>
          <w:rFonts w:hint="eastAsia" w:ascii="宋体" w:hAnsi="宋体" w:eastAsia="宋体" w:cs="宋体"/>
          <w:i w:val="0"/>
          <w:iCs w:val="0"/>
          <w:caps w:val="0"/>
          <w:color w:val="auto"/>
          <w:spacing w:val="0"/>
          <w:sz w:val="24"/>
          <w:szCs w:val="24"/>
          <w:highlight w:val="none"/>
          <w:shd w:val="clear" w:color="auto" w:fill="auto"/>
          <w:lang w:val="en-US" w:eastAsia="zh-CN"/>
        </w:rPr>
        <w:t>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fill="FFFFFF"/>
          <w:lang w:val="en-US" w:eastAsia="zh-CN"/>
        </w:rPr>
        <w:t>办理</w:t>
      </w:r>
      <w:r>
        <w:rPr>
          <w:rFonts w:hint="eastAsia" w:ascii="宋体" w:hAnsi="宋体" w:eastAsia="宋体" w:cs="宋体"/>
          <w:i w:val="0"/>
          <w:iCs w:val="0"/>
          <w:caps w:val="0"/>
          <w:color w:val="333333"/>
          <w:spacing w:val="0"/>
          <w:sz w:val="24"/>
          <w:szCs w:val="24"/>
          <w:highlight w:val="none"/>
          <w:shd w:val="clear" w:fill="FFFFFF"/>
          <w:lang w:val="en-US" w:eastAsia="zh-CN"/>
        </w:rPr>
        <w:t>，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28F63D87">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 潜在供应商访问电子招标响应交易平台的网络地址和方法： </w:t>
      </w:r>
    </w:p>
    <w:p w14:paraId="32A21B87">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26A03879">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2.2 潜在投标人访问“苏采云”系统方法：江苏省政府采购网首页-“苏采云”链接。 </w:t>
      </w:r>
    </w:p>
    <w:p w14:paraId="5B5DA349">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2.3 采购文件（后缀名为“.kedt”）、供应商操作手册及政府采购客户端 工具可通过“苏采云”系统相应链接进行下载。 </w:t>
      </w:r>
    </w:p>
    <w:p w14:paraId="49157009">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2.4 采购代理机构将数据电文形式的采购文件加载至“苏采云”系统，供潜在供应商下载或者查阅。 </w:t>
      </w:r>
    </w:p>
    <w:p w14:paraId="721EE1E1">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2.5 请潜在投标单位提前安装相应的控件（详见《“苏采云”系统供应商操作手册》）并使用谷歌浏览器登录“苏采云”系统参与不见面开评标。 </w:t>
      </w:r>
    </w:p>
    <w:p w14:paraId="3C71CFFD">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如潜在投标人未按上述要求操作，将自行承担所产生的风险。</w:t>
      </w:r>
    </w:p>
    <w:p w14:paraId="364CCC01">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3.有关本次招标的事项若存在变动或修改，敬请及时关注盐城市政府采购代理机构在“中国政府采购网”“江苏政府采购网”“盐城市政府采购网”发布的更正公告。</w:t>
      </w:r>
    </w:p>
    <w:p w14:paraId="48E07BEB">
      <w:pPr>
        <w:pStyle w:val="1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4.本次招标不收取投标保证金，不收取质量保证金。</w:t>
      </w:r>
    </w:p>
    <w:p w14:paraId="29D74365">
      <w:pPr>
        <w:pStyle w:val="1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p>
    <w:bookmarkEnd w:id="30"/>
    <w:p w14:paraId="243CD44D">
      <w:pPr>
        <w:pStyle w:val="14"/>
        <w:pageBreakBefore w:val="0"/>
        <w:spacing w:beforeAutospacing="0" w:afterAutospacing="0" w:line="360" w:lineRule="auto"/>
        <w:ind w:firstLine="480"/>
        <w:jc w:val="both"/>
        <w:rPr>
          <w:rFonts w:hint="eastAsia" w:ascii="宋体" w:hAnsi="宋体" w:eastAsia="宋体" w:cs="宋体"/>
          <w:color w:val="auto"/>
          <w:sz w:val="24"/>
          <w:szCs w:val="24"/>
          <w:highlight w:val="none"/>
          <w:lang w:val="en-US" w:eastAsia="zh-CN"/>
        </w:rPr>
      </w:pPr>
      <w:bookmarkStart w:id="31" w:name="_Toc28359009"/>
      <w:r>
        <w:rPr>
          <w:rFonts w:hint="eastAsia" w:ascii="宋体" w:hAnsi="宋体" w:eastAsia="宋体" w:cs="宋体"/>
          <w:color w:val="auto"/>
          <w:sz w:val="24"/>
          <w:szCs w:val="24"/>
          <w:highlight w:val="none"/>
          <w:lang w:val="en-US" w:eastAsia="zh-CN"/>
        </w:rPr>
        <w:t>5.监督举报电话信息</w:t>
      </w:r>
    </w:p>
    <w:p w14:paraId="7707054C">
      <w:pPr>
        <w:pStyle w:val="14"/>
        <w:pageBreakBefore w:val="0"/>
        <w:spacing w:beforeAutospacing="0" w:afterAutospacing="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联系人:盐南高新区纪检监察工委信访室</w:t>
      </w:r>
    </w:p>
    <w:p w14:paraId="15174046">
      <w:pPr>
        <w:pStyle w:val="14"/>
        <w:pageBreakBefore w:val="0"/>
        <w:spacing w:beforeAutospacing="0" w:afterAutospacing="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联系方式:0515-66661555</w:t>
      </w:r>
    </w:p>
    <w:p w14:paraId="562F8E47">
      <w:pPr>
        <w:pStyle w:val="14"/>
        <w:pageBreakBefore w:val="0"/>
        <w:spacing w:beforeAutospacing="0" w:afterAutospacing="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政府采购投诉电话信息</w:t>
      </w:r>
    </w:p>
    <w:p w14:paraId="44AA553D">
      <w:pPr>
        <w:pStyle w:val="14"/>
        <w:pageBreakBefore w:val="0"/>
        <w:spacing w:beforeAutospacing="0" w:afterAutospacing="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联系人:盐南高新区财政金融局政府采购科</w:t>
      </w:r>
    </w:p>
    <w:p w14:paraId="63968975">
      <w:pPr>
        <w:pStyle w:val="14"/>
        <w:pageBreakBefore w:val="0"/>
        <w:spacing w:beforeAutospacing="0" w:afterAutospacing="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联系方式:0515-69938599</w:t>
      </w:r>
    </w:p>
    <w:p w14:paraId="62089C76">
      <w:pPr>
        <w:pStyle w:val="14"/>
        <w:pageBreakBefore w:val="0"/>
        <w:spacing w:beforeAutospacing="0" w:afterAutospacing="0" w:line="420" w:lineRule="exact"/>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七、对本次招标提出询问，请按以下方式联系。</w:t>
      </w:r>
    </w:p>
    <w:p w14:paraId="48094A76">
      <w:pPr>
        <w:pStyle w:val="14"/>
        <w:pageBreakBefore w:val="0"/>
        <w:spacing w:beforeAutospacing="0" w:afterAutospacing="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1.采购人信息</w:t>
      </w:r>
    </w:p>
    <w:p w14:paraId="0B2F87B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560"/>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名    称：江苏省盐南高新技术产业开发区城市管理服务中心</w:t>
      </w:r>
    </w:p>
    <w:p w14:paraId="5204154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560"/>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地    址：盐城市城南新区新龙广场6#楼</w:t>
      </w:r>
    </w:p>
    <w:p w14:paraId="1CB54D2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560"/>
        <w:jc w:val="both"/>
        <w:rPr>
          <w:rFonts w:hint="eastAsia" w:ascii="宋体" w:hAnsi="宋体" w:eastAsia="宋体" w:cs="宋体"/>
          <w:i w:val="0"/>
          <w:iCs w:val="0"/>
          <w:caps w:val="0"/>
          <w:color w:val="auto"/>
          <w:spacing w:val="0"/>
          <w:sz w:val="24"/>
          <w:szCs w:val="24"/>
          <w:highlight w:val="yellow"/>
          <w:shd w:val="clear" w:color="auto" w:fill="FFFFFF"/>
          <w:lang w:val="en-US" w:eastAsia="zh-CN"/>
        </w:rPr>
      </w:pPr>
      <w:bookmarkStart w:id="32" w:name="_Toc35393807"/>
      <w:bookmarkStart w:id="33" w:name="_Toc28359020"/>
      <w:bookmarkStart w:id="34" w:name="_Toc28359097"/>
      <w:bookmarkStart w:id="35" w:name="_Toc35393638"/>
      <w:r>
        <w:rPr>
          <w:rFonts w:hint="eastAsia" w:ascii="宋体" w:hAnsi="宋体" w:eastAsia="宋体" w:cs="宋体"/>
          <w:i w:val="0"/>
          <w:iCs w:val="0"/>
          <w:caps w:val="0"/>
          <w:color w:val="auto"/>
          <w:spacing w:val="0"/>
          <w:sz w:val="24"/>
          <w:szCs w:val="24"/>
          <w:highlight w:val="none"/>
          <w:shd w:val="clear" w:color="auto" w:fill="FFFFFF"/>
          <w:lang w:val="en-US" w:eastAsia="zh-CN"/>
        </w:rPr>
        <w:t>联 系 人：杨先生</w:t>
      </w:r>
    </w:p>
    <w:p w14:paraId="4E4C442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560"/>
        <w:jc w:val="both"/>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联系电话：13961990022</w:t>
      </w:r>
    </w:p>
    <w:p w14:paraId="48A51E4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560"/>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2.采购代理机构信息</w:t>
      </w:r>
      <w:bookmarkEnd w:id="32"/>
      <w:bookmarkEnd w:id="33"/>
      <w:bookmarkEnd w:id="34"/>
      <w:bookmarkEnd w:id="35"/>
    </w:p>
    <w:p w14:paraId="18F5E26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560"/>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名    称：昆山品正建设顾问有限公司</w:t>
      </w:r>
    </w:p>
    <w:p w14:paraId="6DFBA9A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560"/>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地　　址：盐城市城南新区大宇花苑南区别墅95号</w:t>
      </w:r>
    </w:p>
    <w:p w14:paraId="50D8F6C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560"/>
        <w:jc w:val="both"/>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 系 人：朱女士</w:t>
      </w:r>
    </w:p>
    <w:p w14:paraId="40D6E98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560"/>
        <w:jc w:val="both"/>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联系电话：13921889267</w:t>
      </w:r>
    </w:p>
    <w:p w14:paraId="1089DFB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560"/>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3.项目联系方式</w:t>
      </w:r>
    </w:p>
    <w:p w14:paraId="6356BA4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560"/>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 系 人：杨先生</w:t>
      </w:r>
    </w:p>
    <w:p w14:paraId="0A5F547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560"/>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联系电话：13961990022</w:t>
      </w:r>
    </w:p>
    <w:p w14:paraId="2CEFCD0D">
      <w:pPr>
        <w:pStyle w:val="1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lang w:val="en-US" w:eastAsia="zh-CN"/>
        </w:rPr>
        <w:t>　　　　　　　　　　　　</w:t>
      </w:r>
    </w:p>
    <w:p w14:paraId="6BCABADE">
      <w:pPr>
        <w:pStyle w:val="14"/>
        <w:keepNext/>
        <w:keepLines/>
        <w:spacing w:before="260" w:beforeAutospacing="0" w:after="260" w:afterAutospacing="0" w:line="415" w:lineRule="auto"/>
        <w:jc w:val="both"/>
        <w:rPr>
          <w:rFonts w:hint="eastAsia" w:ascii="黑体" w:hAnsi="宋体" w:eastAsia="黑体" w:cs="黑体"/>
          <w:b/>
          <w:color w:val="000000"/>
          <w:sz w:val="44"/>
          <w:szCs w:val="44"/>
          <w:highlight w:val="none"/>
        </w:rPr>
        <w:sectPr>
          <w:footerReference r:id="rId3" w:type="default"/>
          <w:pgSz w:w="11906" w:h="16838"/>
          <w:pgMar w:top="1440" w:right="1800" w:bottom="1440" w:left="1800" w:header="851" w:footer="992" w:gutter="0"/>
          <w:pgNumType w:fmt="decimal"/>
          <w:cols w:space="425" w:num="1"/>
          <w:docGrid w:type="lines" w:linePitch="312" w:charSpace="0"/>
        </w:sectPr>
      </w:pPr>
      <w:bookmarkStart w:id="36" w:name="_Toc120614211"/>
    </w:p>
    <w:p w14:paraId="01CD31E3">
      <w:pPr>
        <w:pStyle w:val="14"/>
        <w:keepNext/>
        <w:keepLines/>
        <w:spacing w:before="260" w:beforeAutospacing="0" w:after="260" w:afterAutospacing="0" w:line="415" w:lineRule="auto"/>
        <w:jc w:val="center"/>
        <w:rPr>
          <w:highlight w:val="none"/>
        </w:rPr>
      </w:pPr>
      <w:r>
        <w:rPr>
          <w:rFonts w:hint="eastAsia" w:ascii="黑体" w:hAnsi="宋体" w:eastAsia="黑体" w:cs="黑体"/>
          <w:b/>
          <w:color w:val="000000"/>
          <w:sz w:val="44"/>
          <w:szCs w:val="44"/>
          <w:highlight w:val="none"/>
        </w:rPr>
        <w:t xml:space="preserve">第二章  </w:t>
      </w:r>
      <w:bookmarkEnd w:id="36"/>
      <w:bookmarkStart w:id="37" w:name="_Toc120614213"/>
      <w:bookmarkStart w:id="38" w:name="_Toc20823274"/>
      <w:bookmarkStart w:id="39" w:name="_Toc513029202"/>
      <w:bookmarkStart w:id="40" w:name="_Toc16938518"/>
      <w:r>
        <w:rPr>
          <w:rFonts w:hint="eastAsia" w:ascii="黑体" w:hAnsi="宋体" w:eastAsia="黑体" w:cs="黑体"/>
          <w:b/>
          <w:color w:val="000000"/>
          <w:sz w:val="44"/>
          <w:szCs w:val="44"/>
          <w:highlight w:val="none"/>
        </w:rPr>
        <w:t>投标人须知</w:t>
      </w:r>
      <w:bookmarkEnd w:id="37"/>
      <w:bookmarkEnd w:id="38"/>
      <w:bookmarkEnd w:id="39"/>
      <w:bookmarkEnd w:id="40"/>
    </w:p>
    <w:p w14:paraId="2D4D4940">
      <w:pPr>
        <w:pStyle w:val="14"/>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41" w:name="_Toc120614214"/>
      <w:bookmarkStart w:id="42" w:name="_Toc20823275"/>
      <w:bookmarkStart w:id="43" w:name="_Toc513029203"/>
      <w:bookmarkStart w:id="44" w:name="_Toc16938519"/>
      <w:r>
        <w:rPr>
          <w:rFonts w:hint="eastAsia" w:ascii="宋体" w:hAnsi="宋体" w:eastAsia="宋体" w:cs="宋体"/>
          <w:b/>
          <w:color w:val="000000"/>
          <w:sz w:val="24"/>
          <w:szCs w:val="24"/>
          <w:highlight w:val="none"/>
        </w:rPr>
        <w:t>一、总则</w:t>
      </w:r>
      <w:bookmarkEnd w:id="41"/>
      <w:bookmarkEnd w:id="42"/>
      <w:bookmarkEnd w:id="43"/>
      <w:bookmarkEnd w:id="44"/>
    </w:p>
    <w:p w14:paraId="48E05819">
      <w:pPr>
        <w:pStyle w:val="14"/>
        <w:keepNext/>
        <w:keepLines/>
        <w:spacing w:beforeAutospacing="0" w:afterAutospacing="0" w:line="360" w:lineRule="auto"/>
        <w:ind w:firstLine="420"/>
        <w:jc w:val="both"/>
        <w:rPr>
          <w:rFonts w:hint="eastAsia" w:ascii="宋体" w:hAnsi="宋体" w:eastAsia="宋体" w:cs="宋体"/>
          <w:sz w:val="24"/>
          <w:szCs w:val="24"/>
          <w:highlight w:val="none"/>
        </w:rPr>
      </w:pPr>
      <w:bookmarkStart w:id="45" w:name="_Toc16938520"/>
      <w:bookmarkStart w:id="46" w:name="_Toc458694821"/>
      <w:bookmarkStart w:id="47" w:name="_Toc20823276"/>
      <w:bookmarkStart w:id="48" w:name="_Toc513029204"/>
      <w:bookmarkStart w:id="49" w:name="_Hlt16619475"/>
      <w:r>
        <w:rPr>
          <w:rFonts w:hint="eastAsia" w:ascii="宋体" w:hAnsi="宋体" w:eastAsia="宋体" w:cs="宋体"/>
          <w:color w:val="000000"/>
          <w:sz w:val="24"/>
          <w:szCs w:val="24"/>
          <w:highlight w:val="none"/>
        </w:rPr>
        <w:t>1</w:t>
      </w:r>
      <w:bookmarkEnd w:id="45"/>
      <w:r>
        <w:rPr>
          <w:rFonts w:hint="eastAsia" w:ascii="宋体" w:hAnsi="宋体" w:eastAsia="宋体" w:cs="宋体"/>
          <w:color w:val="000000"/>
          <w:sz w:val="24"/>
          <w:szCs w:val="24"/>
          <w:highlight w:val="none"/>
        </w:rPr>
        <w:t>、招标方式</w:t>
      </w:r>
      <w:bookmarkEnd w:id="46"/>
      <w:bookmarkEnd w:id="47"/>
      <w:bookmarkEnd w:id="48"/>
    </w:p>
    <w:p w14:paraId="496D2DA3">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1.1本次招标采取公开招标方式，本招标文件仅适用于招标公告中所述项目。</w:t>
      </w:r>
    </w:p>
    <w:p w14:paraId="7EFF3468">
      <w:pPr>
        <w:pStyle w:val="14"/>
        <w:keepNext/>
        <w:keepLines/>
        <w:spacing w:beforeAutospacing="0" w:afterAutospacing="0" w:line="360" w:lineRule="auto"/>
        <w:ind w:firstLine="420"/>
        <w:jc w:val="both"/>
        <w:rPr>
          <w:rFonts w:hint="eastAsia" w:ascii="宋体" w:hAnsi="宋体" w:eastAsia="宋体" w:cs="宋体"/>
          <w:sz w:val="24"/>
          <w:szCs w:val="24"/>
          <w:highlight w:val="none"/>
        </w:rPr>
      </w:pPr>
      <w:bookmarkStart w:id="50" w:name="_Toc16938521"/>
      <w:bookmarkStart w:id="51" w:name="_Toc20823277"/>
      <w:bookmarkStart w:id="52" w:name="_Toc513029205"/>
      <w:r>
        <w:rPr>
          <w:rFonts w:hint="eastAsia" w:ascii="宋体" w:hAnsi="宋体" w:eastAsia="宋体" w:cs="宋体"/>
          <w:color w:val="000000"/>
          <w:sz w:val="24"/>
          <w:szCs w:val="24"/>
          <w:highlight w:val="none"/>
        </w:rPr>
        <w:t>2、合格的投标人</w:t>
      </w:r>
      <w:bookmarkEnd w:id="50"/>
      <w:bookmarkEnd w:id="51"/>
      <w:bookmarkEnd w:id="52"/>
    </w:p>
    <w:p w14:paraId="575CB15D">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2.1满足招标公告中供应商的资格要求的规定。</w:t>
      </w:r>
    </w:p>
    <w:p w14:paraId="053B99F5">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2.2满足本文件实质性要求和条件的规定。</w:t>
      </w:r>
    </w:p>
    <w:p w14:paraId="6570DAF5">
      <w:pPr>
        <w:pStyle w:val="14"/>
        <w:keepNext/>
        <w:keepLines/>
        <w:spacing w:beforeAutospacing="0" w:afterAutospacing="0" w:line="360" w:lineRule="auto"/>
        <w:ind w:firstLine="420"/>
        <w:jc w:val="both"/>
        <w:rPr>
          <w:rFonts w:hint="eastAsia" w:ascii="宋体" w:hAnsi="宋体" w:eastAsia="宋体" w:cs="宋体"/>
          <w:sz w:val="24"/>
          <w:szCs w:val="24"/>
          <w:highlight w:val="none"/>
        </w:rPr>
      </w:pPr>
      <w:bookmarkStart w:id="53" w:name="_Toc513029206"/>
      <w:bookmarkStart w:id="54" w:name="_Toc16938522"/>
      <w:bookmarkStart w:id="55" w:name="_Toc20823278"/>
      <w:r>
        <w:rPr>
          <w:rFonts w:hint="eastAsia" w:ascii="宋体" w:hAnsi="宋体" w:eastAsia="宋体" w:cs="宋体"/>
          <w:color w:val="000000"/>
          <w:sz w:val="24"/>
          <w:szCs w:val="24"/>
          <w:highlight w:val="none"/>
        </w:rPr>
        <w:t>3、适用法律</w:t>
      </w:r>
      <w:bookmarkEnd w:id="53"/>
      <w:bookmarkEnd w:id="54"/>
      <w:bookmarkEnd w:id="55"/>
    </w:p>
    <w:p w14:paraId="0791EDEA">
      <w:pPr>
        <w:pStyle w:val="14"/>
        <w:spacing w:beforeAutospacing="0" w:afterAutospacing="0" w:line="360" w:lineRule="auto"/>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3.1本次招标及由此产生的合同受中华人民共和国有关的法律法规制约和保护。</w:t>
      </w:r>
    </w:p>
    <w:p w14:paraId="36533D3B">
      <w:pPr>
        <w:pStyle w:val="14"/>
        <w:keepNext/>
        <w:keepLines/>
        <w:spacing w:beforeAutospacing="0" w:afterAutospacing="0" w:line="360" w:lineRule="auto"/>
        <w:ind w:firstLine="420"/>
        <w:jc w:val="both"/>
        <w:rPr>
          <w:rFonts w:hint="eastAsia" w:ascii="宋体" w:hAnsi="宋体" w:eastAsia="宋体" w:cs="宋体"/>
          <w:sz w:val="24"/>
          <w:szCs w:val="24"/>
          <w:highlight w:val="none"/>
        </w:rPr>
      </w:pPr>
      <w:bookmarkStart w:id="56" w:name="_Toc16938523"/>
      <w:bookmarkStart w:id="57" w:name="_Toc462564067"/>
      <w:bookmarkStart w:id="58" w:name="_Toc513029207"/>
      <w:bookmarkStart w:id="59" w:name="_Toc20823279"/>
      <w:r>
        <w:rPr>
          <w:rFonts w:hint="eastAsia" w:ascii="宋体" w:hAnsi="宋体" w:eastAsia="宋体" w:cs="宋体"/>
          <w:color w:val="000000"/>
          <w:sz w:val="24"/>
          <w:szCs w:val="24"/>
          <w:highlight w:val="none"/>
        </w:rPr>
        <w:t>4、投标费用</w:t>
      </w:r>
      <w:bookmarkEnd w:id="56"/>
      <w:bookmarkEnd w:id="57"/>
      <w:bookmarkEnd w:id="58"/>
      <w:bookmarkEnd w:id="59"/>
    </w:p>
    <w:p w14:paraId="63152B29">
      <w:pPr>
        <w:pStyle w:val="14"/>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highlight w:val="none"/>
        </w:rPr>
        <w:t>4.1</w:t>
      </w:r>
      <w:r>
        <w:rPr>
          <w:rFonts w:hint="eastAsia" w:ascii="宋体" w:hAnsi="宋体" w:eastAsia="宋体" w:cs="宋体"/>
          <w:color w:val="auto"/>
          <w:sz w:val="24"/>
          <w:szCs w:val="24"/>
          <w:highlight w:val="none"/>
        </w:rPr>
        <w:t>投标人应自行承担所有与参加投标有关的费用，无论投标过程中的做法和结果如何，采购人在任何情况下均无义务和责任承担这些费用。</w:t>
      </w:r>
    </w:p>
    <w:p w14:paraId="7C6205D9">
      <w:pPr>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i w:val="0"/>
          <w:iCs/>
          <w:color w:val="auto"/>
          <w:sz w:val="24"/>
          <w:szCs w:val="24"/>
          <w:highlight w:val="none"/>
          <w:u w:val="none"/>
          <w:lang w:val="en-US" w:eastAsia="zh-CN"/>
        </w:rPr>
        <w:t>4.2</w:t>
      </w:r>
      <w:r>
        <w:rPr>
          <w:rFonts w:hint="eastAsia" w:ascii="宋体" w:hAnsi="宋体" w:eastAsia="宋体" w:cs="宋体"/>
          <w:b w:val="0"/>
          <w:bCs w:val="0"/>
          <w:color w:val="auto"/>
          <w:sz w:val="24"/>
          <w:szCs w:val="24"/>
          <w:highlight w:val="none"/>
        </w:rPr>
        <w:t>中标代理服务费收取：</w:t>
      </w:r>
      <w:r>
        <w:rPr>
          <w:rFonts w:hint="eastAsia" w:ascii="宋体" w:hAnsi="宋体" w:eastAsia="宋体" w:cs="宋体"/>
          <w:b w:val="0"/>
          <w:bCs w:val="0"/>
          <w:color w:val="auto"/>
          <w:sz w:val="24"/>
          <w:szCs w:val="24"/>
          <w:highlight w:val="none"/>
          <w:lang w:val="en-US" w:eastAsia="zh-CN"/>
        </w:rPr>
        <w:t>本项目招标代理费及造价咨询</w:t>
      </w:r>
      <w:r>
        <w:rPr>
          <w:rFonts w:hint="eastAsia" w:ascii="宋体" w:hAnsi="宋体" w:eastAsia="宋体" w:cs="宋体"/>
          <w:b w:val="0"/>
          <w:bCs w:val="0"/>
          <w:color w:val="auto"/>
          <w:sz w:val="24"/>
          <w:szCs w:val="24"/>
          <w:highlight w:val="none"/>
        </w:rPr>
        <w:t>费</w:t>
      </w:r>
      <w:r>
        <w:rPr>
          <w:rFonts w:hint="eastAsia" w:ascii="宋体" w:hAnsi="宋体" w:eastAsia="宋体" w:cs="宋体"/>
          <w:b w:val="0"/>
          <w:bCs w:val="0"/>
          <w:color w:val="auto"/>
          <w:sz w:val="24"/>
          <w:szCs w:val="24"/>
          <w:highlight w:val="none"/>
          <w:lang w:val="en-US" w:eastAsia="zh-CN"/>
        </w:rPr>
        <w:t>由</w:t>
      </w:r>
      <w:r>
        <w:rPr>
          <w:rFonts w:hint="eastAsia" w:ascii="宋体" w:hAnsi="宋体" w:eastAsia="宋体" w:cs="宋体"/>
          <w:b w:val="0"/>
          <w:bCs w:val="0"/>
          <w:color w:val="auto"/>
          <w:sz w:val="24"/>
          <w:szCs w:val="24"/>
          <w:highlight w:val="none"/>
        </w:rPr>
        <w:t>中标单位</w:t>
      </w:r>
      <w:r>
        <w:rPr>
          <w:rFonts w:hint="eastAsia" w:ascii="宋体" w:hAnsi="宋体" w:eastAsia="宋体" w:cs="宋体"/>
          <w:b w:val="0"/>
          <w:bCs w:val="0"/>
          <w:color w:val="auto"/>
          <w:sz w:val="24"/>
          <w:szCs w:val="24"/>
          <w:highlight w:val="none"/>
          <w:lang w:val="en-US" w:eastAsia="zh-CN"/>
        </w:rPr>
        <w:t>支付，在领取中标通知书时</w:t>
      </w:r>
      <w:r>
        <w:rPr>
          <w:rFonts w:hint="eastAsia" w:ascii="宋体" w:hAnsi="宋体" w:eastAsia="宋体" w:cs="宋体"/>
          <w:b w:val="0"/>
          <w:bCs w:val="0"/>
          <w:color w:val="auto"/>
          <w:sz w:val="24"/>
          <w:szCs w:val="24"/>
          <w:highlight w:val="none"/>
        </w:rPr>
        <w:t>向采购代理机构缴纳，按国家收费标准</w:t>
      </w:r>
      <w:r>
        <w:rPr>
          <w:rFonts w:hint="eastAsia" w:ascii="宋体" w:hAnsi="宋体" w:eastAsia="宋体" w:cs="宋体"/>
          <w:color w:val="auto"/>
          <w:sz w:val="24"/>
          <w:szCs w:val="24"/>
          <w:highlight w:val="none"/>
        </w:rPr>
        <w:t>苏招协[2022]002号文</w:t>
      </w:r>
      <w:r>
        <w:rPr>
          <w:rFonts w:hint="eastAsia" w:ascii="宋体" w:hAnsi="宋体" w:eastAsia="宋体" w:cs="宋体"/>
          <w:color w:val="auto"/>
          <w:sz w:val="24"/>
          <w:szCs w:val="24"/>
          <w:highlight w:val="none"/>
          <w:lang w:val="en-US" w:eastAsia="zh-CN"/>
        </w:rPr>
        <w:t>收费标准及苏建价协</w:t>
      </w:r>
      <w:r>
        <w:rPr>
          <w:rFonts w:hint="eastAsia" w:ascii="宋体" w:hAnsi="宋体" w:eastAsia="宋体" w:cs="宋体"/>
          <w:color w:val="auto"/>
          <w:sz w:val="24"/>
          <w:szCs w:val="24"/>
          <w:highlight w:val="none"/>
        </w:rPr>
        <w:t>[2022]</w:t>
      </w:r>
      <w:r>
        <w:rPr>
          <w:rFonts w:hint="eastAsia" w:ascii="宋体" w:hAnsi="宋体" w:eastAsia="宋体" w:cs="宋体"/>
          <w:color w:val="auto"/>
          <w:sz w:val="24"/>
          <w:szCs w:val="24"/>
          <w:highlight w:val="none"/>
          <w:lang w:val="en-US" w:eastAsia="zh-CN"/>
        </w:rPr>
        <w:t>7号文</w:t>
      </w:r>
      <w:r>
        <w:rPr>
          <w:rFonts w:hint="eastAsia" w:ascii="宋体" w:hAnsi="宋体" w:eastAsia="宋体" w:cs="宋体"/>
          <w:color w:val="auto"/>
          <w:sz w:val="24"/>
          <w:szCs w:val="24"/>
          <w:highlight w:val="none"/>
        </w:rPr>
        <w:t>收费标准</w:t>
      </w:r>
      <w:r>
        <w:rPr>
          <w:rFonts w:hint="eastAsia" w:ascii="宋体" w:hAnsi="宋体" w:eastAsia="宋体" w:cs="宋体"/>
          <w:b w:val="0"/>
          <w:bCs w:val="0"/>
          <w:color w:val="auto"/>
          <w:sz w:val="24"/>
          <w:szCs w:val="24"/>
          <w:highlight w:val="none"/>
          <w:lang w:val="en-US" w:eastAsia="zh-CN"/>
        </w:rPr>
        <w:t>计取</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此费用由投标人在投标报价中综合考虑，采购人不再支付除投标报价以外的任何费用。</w:t>
      </w:r>
    </w:p>
    <w:p w14:paraId="3170A5D0">
      <w:pPr>
        <w:pStyle w:val="14"/>
        <w:keepNext/>
        <w:keepLines/>
        <w:spacing w:beforeAutospacing="0" w:afterAutospacing="0" w:line="360"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rPr>
        <w:t>5、招</w:t>
      </w:r>
      <w:r>
        <w:rPr>
          <w:rFonts w:hint="eastAsia" w:ascii="宋体" w:hAnsi="宋体" w:eastAsia="宋体" w:cs="宋体"/>
          <w:color w:val="000000"/>
          <w:sz w:val="24"/>
          <w:szCs w:val="24"/>
          <w:highlight w:val="none"/>
        </w:rPr>
        <w:t>标文件的约束力</w:t>
      </w:r>
    </w:p>
    <w:p w14:paraId="34C8BA98">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5.1投标人一旦参加本项目采购活动，即被认为接受了本招标文件的规定和约束。</w:t>
      </w:r>
    </w:p>
    <w:p w14:paraId="43832C20">
      <w:pPr>
        <w:pStyle w:val="14"/>
        <w:keepNext/>
        <w:keepLines/>
        <w:spacing w:before="145" w:beforeAutospacing="0" w:after="145" w:afterAutospacing="0" w:line="360" w:lineRule="auto"/>
        <w:ind w:firstLine="321"/>
        <w:jc w:val="both"/>
        <w:rPr>
          <w:rFonts w:hint="eastAsia" w:ascii="宋体" w:hAnsi="宋体" w:eastAsia="宋体" w:cs="宋体"/>
          <w:sz w:val="24"/>
          <w:szCs w:val="24"/>
          <w:highlight w:val="none"/>
        </w:rPr>
      </w:pPr>
      <w:bookmarkStart w:id="60" w:name="_Toc20823281"/>
      <w:bookmarkStart w:id="61" w:name="_Toc513029209"/>
      <w:bookmarkStart w:id="62" w:name="_Toc120614215"/>
      <w:bookmarkStart w:id="63" w:name="_Toc16938525"/>
      <w:r>
        <w:rPr>
          <w:rFonts w:hint="eastAsia" w:ascii="宋体" w:hAnsi="宋体" w:eastAsia="宋体" w:cs="宋体"/>
          <w:b/>
          <w:color w:val="000000"/>
          <w:sz w:val="24"/>
          <w:szCs w:val="24"/>
          <w:highlight w:val="none"/>
        </w:rPr>
        <w:t>二、招标文件</w:t>
      </w:r>
      <w:bookmarkEnd w:id="60"/>
      <w:bookmarkEnd w:id="61"/>
      <w:bookmarkEnd w:id="62"/>
      <w:bookmarkEnd w:id="63"/>
    </w:p>
    <w:p w14:paraId="68ED197E">
      <w:pPr>
        <w:pStyle w:val="14"/>
        <w:keepNext/>
        <w:keepLines/>
        <w:spacing w:beforeAutospacing="0" w:afterAutospacing="0" w:line="360" w:lineRule="auto"/>
        <w:ind w:firstLine="420"/>
        <w:jc w:val="both"/>
        <w:rPr>
          <w:rFonts w:hint="eastAsia" w:ascii="宋体" w:hAnsi="宋体" w:eastAsia="宋体" w:cs="宋体"/>
          <w:sz w:val="24"/>
          <w:szCs w:val="24"/>
          <w:highlight w:val="none"/>
        </w:rPr>
      </w:pPr>
      <w:bookmarkStart w:id="64" w:name="_Toc16938526"/>
      <w:bookmarkStart w:id="65" w:name="_Toc20823282"/>
      <w:bookmarkStart w:id="66" w:name="_Toc513029210"/>
      <w:r>
        <w:rPr>
          <w:rFonts w:hint="eastAsia" w:ascii="宋体" w:hAnsi="宋体" w:eastAsia="宋体" w:cs="宋体"/>
          <w:color w:val="000000"/>
          <w:sz w:val="24"/>
          <w:szCs w:val="24"/>
          <w:highlight w:val="none"/>
        </w:rPr>
        <w:t>6、招标文件构成</w:t>
      </w:r>
      <w:bookmarkEnd w:id="64"/>
      <w:bookmarkEnd w:id="65"/>
      <w:bookmarkEnd w:id="66"/>
    </w:p>
    <w:p w14:paraId="3A8430B3">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6.1 招标文件由以下部分组成：</w:t>
      </w:r>
    </w:p>
    <w:p w14:paraId="7CAD8D0E">
      <w:pPr>
        <w:pStyle w:val="14"/>
        <w:spacing w:beforeAutospacing="0" w:afterAutospacing="0" w:line="360" w:lineRule="auto"/>
        <w:ind w:firstLine="360"/>
        <w:jc w:val="both"/>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招标公告</w:t>
      </w:r>
    </w:p>
    <w:p w14:paraId="65867A57">
      <w:pPr>
        <w:pStyle w:val="14"/>
        <w:spacing w:beforeAutospacing="0" w:afterAutospacing="0" w:line="360" w:lineRule="auto"/>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（2）投标人须知</w:t>
      </w:r>
    </w:p>
    <w:p w14:paraId="57943076">
      <w:pPr>
        <w:pStyle w:val="14"/>
        <w:spacing w:beforeAutospacing="0" w:afterAutospacing="0" w:line="360" w:lineRule="auto"/>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（3）合同文本</w:t>
      </w:r>
    </w:p>
    <w:p w14:paraId="2179FCE5">
      <w:pPr>
        <w:pStyle w:val="14"/>
        <w:spacing w:beforeAutospacing="0" w:afterAutospacing="0" w:line="360" w:lineRule="auto"/>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（4）采购需求</w:t>
      </w:r>
    </w:p>
    <w:p w14:paraId="552F5101">
      <w:pPr>
        <w:pStyle w:val="14"/>
        <w:spacing w:beforeAutospacing="0" w:afterAutospacing="0" w:line="360" w:lineRule="auto"/>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（5）评标方法与评标标准</w:t>
      </w:r>
    </w:p>
    <w:p w14:paraId="35C39FDB">
      <w:pPr>
        <w:pStyle w:val="14"/>
        <w:spacing w:beforeAutospacing="0" w:afterAutospacing="0" w:line="360" w:lineRule="auto"/>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（6）投标文件格式</w:t>
      </w:r>
    </w:p>
    <w:p w14:paraId="4BF73955">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请仔细检查招标文件是否齐全，如有缺漏请立即与</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联系解决。</w:t>
      </w:r>
    </w:p>
    <w:p w14:paraId="6CE22225">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FBCE683">
      <w:pPr>
        <w:pStyle w:val="14"/>
        <w:keepNext/>
        <w:keepLines/>
        <w:spacing w:beforeAutospacing="0" w:afterAutospacing="0" w:line="360" w:lineRule="auto"/>
        <w:ind w:firstLine="560"/>
        <w:jc w:val="both"/>
        <w:rPr>
          <w:rFonts w:hint="eastAsia" w:ascii="宋体" w:hAnsi="宋体" w:eastAsia="宋体" w:cs="宋体"/>
          <w:sz w:val="24"/>
          <w:szCs w:val="24"/>
          <w:highlight w:val="none"/>
        </w:rPr>
      </w:pPr>
      <w:bookmarkStart w:id="67" w:name="_Toc462564070"/>
      <w:bookmarkStart w:id="68" w:name="_Toc16938527"/>
      <w:bookmarkStart w:id="69" w:name="_Toc513029211"/>
      <w:bookmarkStart w:id="70" w:name="_Toc20823283"/>
      <w:r>
        <w:rPr>
          <w:rFonts w:hint="eastAsia" w:ascii="宋体" w:hAnsi="宋体" w:eastAsia="宋体" w:cs="宋体"/>
          <w:color w:val="000000"/>
          <w:sz w:val="24"/>
          <w:szCs w:val="24"/>
          <w:highlight w:val="none"/>
        </w:rPr>
        <w:t>7、招标文件的澄清</w:t>
      </w:r>
      <w:bookmarkEnd w:id="67"/>
      <w:bookmarkEnd w:id="68"/>
      <w:bookmarkEnd w:id="69"/>
      <w:bookmarkEnd w:id="70"/>
    </w:p>
    <w:p w14:paraId="51C9CA80">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7.1任何要求对招标文件进行澄清的投标人，应在投标截止期</w:t>
      </w:r>
      <w:r>
        <w:rPr>
          <w:rFonts w:hint="eastAsia" w:ascii="宋体" w:hAnsi="宋体" w:eastAsia="宋体" w:cs="宋体"/>
          <w:b/>
          <w:color w:val="000000"/>
          <w:sz w:val="24"/>
          <w:szCs w:val="24"/>
          <w:highlight w:val="none"/>
        </w:rPr>
        <w:t>十日</w:t>
      </w:r>
      <w:r>
        <w:rPr>
          <w:rFonts w:hint="eastAsia" w:ascii="宋体" w:hAnsi="宋体" w:eastAsia="宋体" w:cs="宋体"/>
          <w:color w:val="000000"/>
          <w:sz w:val="24"/>
          <w:szCs w:val="24"/>
          <w:highlight w:val="none"/>
        </w:rPr>
        <w:t>前按招标公告中的通讯地址，以书面形式通知</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w:t>
      </w:r>
    </w:p>
    <w:p w14:paraId="64D93D1A">
      <w:pPr>
        <w:pStyle w:val="14"/>
        <w:keepNext/>
        <w:keepLines/>
        <w:spacing w:beforeAutospacing="0" w:afterAutospacing="0" w:line="360" w:lineRule="auto"/>
        <w:ind w:firstLine="560"/>
        <w:jc w:val="both"/>
        <w:rPr>
          <w:rFonts w:hint="eastAsia" w:ascii="宋体" w:hAnsi="宋体" w:eastAsia="宋体" w:cs="宋体"/>
          <w:sz w:val="24"/>
          <w:szCs w:val="24"/>
          <w:highlight w:val="none"/>
        </w:rPr>
      </w:pPr>
      <w:bookmarkStart w:id="71" w:name="_Toc462564071"/>
      <w:bookmarkStart w:id="72" w:name="_Toc513029212"/>
      <w:bookmarkStart w:id="73" w:name="_Toc20823284"/>
      <w:bookmarkStart w:id="74" w:name="_Toc16938528"/>
      <w:r>
        <w:rPr>
          <w:rFonts w:hint="eastAsia" w:ascii="宋体" w:hAnsi="宋体" w:eastAsia="宋体" w:cs="宋体"/>
          <w:color w:val="000000"/>
          <w:sz w:val="24"/>
          <w:szCs w:val="24"/>
          <w:highlight w:val="none"/>
        </w:rPr>
        <w:t>8、招标文件的修改</w:t>
      </w:r>
      <w:bookmarkEnd w:id="71"/>
      <w:bookmarkEnd w:id="72"/>
      <w:bookmarkEnd w:id="73"/>
      <w:bookmarkEnd w:id="74"/>
    </w:p>
    <w:p w14:paraId="79F7581C">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8.1在投标截止时间前，</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可以对招标文件进行修改。</w:t>
      </w:r>
    </w:p>
    <w:p w14:paraId="6C5CE647">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8.2</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有权按照法定的要求推迟投标截止日期和开标日期。</w:t>
      </w:r>
    </w:p>
    <w:p w14:paraId="47FD8A9B">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8.3招标文件的修改将在</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盐城市政府采购网公布，补充文件将作为招标文件的组成部分，并对投标人具有约束力。</w:t>
      </w:r>
    </w:p>
    <w:p w14:paraId="00278C9A">
      <w:pPr>
        <w:pStyle w:val="14"/>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75" w:name="_Toc120614216"/>
      <w:bookmarkStart w:id="76" w:name="_Toc513029213"/>
      <w:bookmarkStart w:id="77" w:name="_Toc16938529"/>
      <w:bookmarkStart w:id="78" w:name="_Toc20823285"/>
      <w:bookmarkStart w:id="79" w:name="_Toc462564072"/>
      <w:r>
        <w:rPr>
          <w:rFonts w:hint="eastAsia" w:ascii="宋体" w:hAnsi="宋体" w:eastAsia="宋体" w:cs="宋体"/>
          <w:b/>
          <w:color w:val="000000"/>
          <w:sz w:val="24"/>
          <w:szCs w:val="24"/>
          <w:highlight w:val="none"/>
        </w:rPr>
        <w:t>三、投标文件的编制</w:t>
      </w:r>
      <w:bookmarkEnd w:id="75"/>
      <w:bookmarkEnd w:id="76"/>
      <w:bookmarkEnd w:id="77"/>
      <w:bookmarkEnd w:id="78"/>
      <w:bookmarkEnd w:id="79"/>
    </w:p>
    <w:p w14:paraId="3958D525">
      <w:pPr>
        <w:pStyle w:val="14"/>
        <w:keepNext/>
        <w:keepLines/>
        <w:spacing w:beforeAutospacing="0" w:afterAutospacing="0" w:line="360" w:lineRule="auto"/>
        <w:ind w:firstLine="480" w:firstLineChars="200"/>
        <w:jc w:val="both"/>
        <w:rPr>
          <w:rFonts w:hint="eastAsia" w:ascii="宋体" w:hAnsi="宋体" w:eastAsia="宋体" w:cs="宋体"/>
          <w:sz w:val="24"/>
          <w:szCs w:val="24"/>
          <w:highlight w:val="none"/>
        </w:rPr>
      </w:pPr>
      <w:bookmarkStart w:id="80" w:name="_Toc462564073"/>
      <w:bookmarkStart w:id="81" w:name="_Toc513029214"/>
      <w:bookmarkStart w:id="82" w:name="_Toc16938530"/>
      <w:bookmarkStart w:id="83" w:name="_Toc20823286"/>
      <w:r>
        <w:rPr>
          <w:rFonts w:hint="eastAsia" w:ascii="宋体" w:hAnsi="宋体" w:eastAsia="宋体" w:cs="宋体"/>
          <w:color w:val="000000"/>
          <w:sz w:val="24"/>
          <w:szCs w:val="24"/>
          <w:highlight w:val="none"/>
        </w:rPr>
        <w:t>9、投标文件的语言及度量衡单位</w:t>
      </w:r>
      <w:bookmarkEnd w:id="80"/>
      <w:bookmarkEnd w:id="81"/>
      <w:bookmarkEnd w:id="82"/>
      <w:bookmarkEnd w:id="83"/>
    </w:p>
    <w:p w14:paraId="4F02069C">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9.1投标人提交的投标文件以及投标人与</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就有关投标的所有来往通知、函件和文件均应使用</w:t>
      </w:r>
      <w:r>
        <w:rPr>
          <w:rFonts w:hint="eastAsia" w:ascii="宋体" w:hAnsi="宋体" w:eastAsia="宋体" w:cs="宋体"/>
          <w:b/>
          <w:color w:val="000000"/>
          <w:sz w:val="24"/>
          <w:szCs w:val="24"/>
          <w:highlight w:val="none"/>
        </w:rPr>
        <w:t>简体中文</w:t>
      </w:r>
      <w:r>
        <w:rPr>
          <w:rFonts w:hint="eastAsia" w:ascii="宋体" w:hAnsi="宋体" w:eastAsia="宋体" w:cs="宋体"/>
          <w:color w:val="000000"/>
          <w:sz w:val="24"/>
          <w:szCs w:val="24"/>
          <w:highlight w:val="none"/>
        </w:rPr>
        <w:t>。</w:t>
      </w:r>
    </w:p>
    <w:p w14:paraId="4BFB97B0">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9.2除技术性能另有规定外，投标文件所使用的度量衡单位，均须采用国家法定计量单位。</w:t>
      </w:r>
    </w:p>
    <w:p w14:paraId="5A005DB0">
      <w:pPr>
        <w:pStyle w:val="14"/>
        <w:keepNext/>
        <w:keepLines/>
        <w:spacing w:beforeAutospacing="0" w:afterAutospacing="0" w:line="360" w:lineRule="auto"/>
        <w:ind w:firstLine="420"/>
        <w:jc w:val="both"/>
        <w:rPr>
          <w:rFonts w:hint="eastAsia" w:ascii="宋体" w:hAnsi="宋体" w:eastAsia="宋体" w:cs="宋体"/>
          <w:sz w:val="24"/>
          <w:szCs w:val="24"/>
          <w:highlight w:val="none"/>
        </w:rPr>
      </w:pPr>
      <w:bookmarkStart w:id="84" w:name="_Toc513029215"/>
      <w:bookmarkStart w:id="85" w:name="_Toc462564074"/>
      <w:bookmarkStart w:id="86" w:name="_Toc16938531"/>
      <w:bookmarkStart w:id="87" w:name="_Toc20823287"/>
      <w:r>
        <w:rPr>
          <w:rFonts w:hint="eastAsia" w:ascii="宋体" w:hAnsi="宋体" w:eastAsia="宋体" w:cs="宋体"/>
          <w:color w:val="000000"/>
          <w:sz w:val="24"/>
          <w:szCs w:val="24"/>
          <w:highlight w:val="none"/>
        </w:rPr>
        <w:t>10、投标文件构成</w:t>
      </w:r>
      <w:bookmarkEnd w:id="84"/>
      <w:bookmarkEnd w:id="85"/>
      <w:bookmarkEnd w:id="86"/>
      <w:bookmarkEnd w:id="87"/>
    </w:p>
    <w:p w14:paraId="2CDE719A">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10.1投标人编写的投标文件应包括资格证明文件、符合性证明文件、投标分项报价表、技术要求响应及偏离表、商务要求响应及偏离表、其他证明文件、投标函、开标一览表等部分。</w:t>
      </w:r>
    </w:p>
    <w:p w14:paraId="43A68060">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10.2如标书制作工具中格式和内容与</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盐城市政府采购网”发布的招标文件不一致，请以</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盐城市政府采购网”发布的招标文件为准。</w:t>
      </w:r>
    </w:p>
    <w:p w14:paraId="6DEC3FEF">
      <w:pPr>
        <w:pStyle w:val="14"/>
        <w:keepNext/>
        <w:keepLines/>
        <w:numPr>
          <w:ilvl w:val="0"/>
          <w:numId w:val="1"/>
        </w:numPr>
        <w:spacing w:beforeAutospacing="0" w:afterAutospacing="0" w:line="360" w:lineRule="auto"/>
        <w:ind w:firstLine="420"/>
        <w:jc w:val="both"/>
        <w:rPr>
          <w:rFonts w:hint="eastAsia" w:ascii="宋体" w:hAnsi="宋体" w:eastAsia="宋体" w:cs="宋体"/>
          <w:color w:val="000000"/>
          <w:sz w:val="24"/>
          <w:szCs w:val="24"/>
          <w:highlight w:val="none"/>
        </w:rPr>
      </w:pPr>
      <w:bookmarkStart w:id="88" w:name="_Toc513029216"/>
      <w:bookmarkStart w:id="89" w:name="_Toc49090509"/>
      <w:bookmarkStart w:id="90" w:name="_Toc513029219"/>
      <w:bookmarkStart w:id="91" w:name="_Toc49090507"/>
      <w:bookmarkStart w:id="92" w:name="_Toc14577357"/>
      <w:bookmarkStart w:id="93" w:name="_Toc14577354"/>
      <w:bookmarkStart w:id="94" w:name="_Hlt26670360"/>
      <w:bookmarkStart w:id="95" w:name="_Hlt26954838"/>
      <w:bookmarkStart w:id="96" w:name="_Hlt26668975"/>
      <w:r>
        <w:rPr>
          <w:rFonts w:hint="eastAsia" w:ascii="宋体" w:hAnsi="宋体" w:eastAsia="宋体" w:cs="宋体"/>
          <w:color w:val="000000"/>
          <w:sz w:val="24"/>
          <w:szCs w:val="24"/>
          <w:highlight w:val="none"/>
        </w:rPr>
        <w:t>证明投标人及投标标的符合招标文件规定的文件</w:t>
      </w:r>
      <w:bookmarkEnd w:id="88"/>
      <w:bookmarkEnd w:id="89"/>
      <w:bookmarkEnd w:id="90"/>
      <w:bookmarkEnd w:id="91"/>
      <w:bookmarkEnd w:id="92"/>
      <w:bookmarkEnd w:id="93"/>
      <w:bookmarkStart w:id="97" w:name="_Toc14577355"/>
      <w:bookmarkStart w:id="98" w:name="_Toc49090508"/>
    </w:p>
    <w:p w14:paraId="7BCF26D9">
      <w:pPr>
        <w:pStyle w:val="14"/>
        <w:keepNext/>
        <w:keepLines/>
        <w:numPr>
          <w:ilvl w:val="0"/>
          <w:numId w:val="0"/>
        </w:numPr>
        <w:spacing w:beforeAutospacing="0" w:afterAutospacing="0" w:line="360"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11.1投标人应按照法律、法规、规章和规范性文件以及招标文件要求提交证明文件，证明其及投标标的符合招标文件规定。</w:t>
      </w:r>
      <w:bookmarkEnd w:id="97"/>
      <w:bookmarkEnd w:id="98"/>
    </w:p>
    <w:p w14:paraId="68EBD425">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11.2招标文件对证明文件无明确形式要求的，证明文件可以以文字资料、图纸和数据等形式提交。</w:t>
      </w:r>
    </w:p>
    <w:p w14:paraId="7C62A904">
      <w:pPr>
        <w:pStyle w:val="14"/>
        <w:keepNext/>
        <w:keepLines/>
        <w:spacing w:beforeAutospacing="0" w:afterAutospacing="0" w:line="360" w:lineRule="auto"/>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12、投标分项报价</w:t>
      </w:r>
      <w:bookmarkStart w:id="99" w:name="_Hlt26670373"/>
      <w:r>
        <w:rPr>
          <w:rFonts w:hint="eastAsia" w:ascii="宋体" w:hAnsi="宋体" w:eastAsia="宋体" w:cs="宋体"/>
          <w:color w:val="000000"/>
          <w:sz w:val="24"/>
          <w:szCs w:val="24"/>
          <w:highlight w:val="none"/>
        </w:rPr>
        <w:t>表</w:t>
      </w:r>
    </w:p>
    <w:p w14:paraId="54CA8B62">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12.1投</w:t>
      </w:r>
      <w:bookmarkStart w:id="100" w:name="_Hlt26954840"/>
      <w:r>
        <w:rPr>
          <w:rFonts w:hint="eastAsia" w:ascii="宋体" w:hAnsi="宋体" w:eastAsia="宋体" w:cs="宋体"/>
          <w:color w:val="000000"/>
          <w:sz w:val="24"/>
          <w:szCs w:val="24"/>
          <w:highlight w:val="none"/>
        </w:rPr>
        <w:t>标人应按照招标文件规定格式填报投标分项报价表</w:t>
      </w:r>
      <w:bookmarkStart w:id="101" w:name="_Hlt26670399"/>
      <w:r>
        <w:rPr>
          <w:rFonts w:hint="eastAsia" w:ascii="宋体" w:hAnsi="宋体" w:eastAsia="宋体" w:cs="宋体"/>
          <w:color w:val="000000"/>
          <w:sz w:val="24"/>
          <w:szCs w:val="24"/>
          <w:highlight w:val="none"/>
        </w:rPr>
        <w:t>。</w:t>
      </w:r>
    </w:p>
    <w:p w14:paraId="39E53BD0">
      <w:pPr>
        <w:pStyle w:val="14"/>
        <w:pageBreakBefore w:val="0"/>
        <w:widowControl w:val="0"/>
        <w:spacing w:beforeAutospacing="0" w:afterAutospacing="0" w:line="480" w:lineRule="exac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12.2投标货币。投标文件中的单价和总价无特殊规定的采用人民币报价，以元为单位标注。招标文件中另有规定的按规定执行。</w:t>
      </w:r>
    </w:p>
    <w:p w14:paraId="1AB826C7">
      <w:pPr>
        <w:pStyle w:val="14"/>
        <w:pageBreakBefore w:val="0"/>
        <w:widowControl w:val="0"/>
        <w:spacing w:beforeAutospacing="0" w:afterAutospacing="0" w:line="480" w:lineRule="exact"/>
        <w:ind w:firstLine="480"/>
        <w:jc w:val="both"/>
        <w:rPr>
          <w:rFonts w:hint="eastAsia" w:ascii="宋体" w:hAnsi="宋体" w:eastAsia="宋体" w:cs="宋体"/>
          <w:color w:val="000000"/>
          <w:sz w:val="24"/>
          <w:szCs w:val="24"/>
          <w:highlight w:val="none"/>
        </w:rPr>
      </w:pPr>
      <w:r>
        <w:rPr>
          <w:rFonts w:hint="eastAsia" w:ascii="宋体" w:hAnsi="宋体" w:eastAsia="宋体" w:cs="宋体"/>
          <w:color w:val="auto"/>
          <w:highlight w:val="none"/>
        </w:rPr>
        <w:t>12.</w:t>
      </w:r>
      <w:r>
        <w:rPr>
          <w:rFonts w:hint="eastAsia" w:ascii="宋体" w:hAnsi="宋体" w:eastAsia="宋体" w:cs="宋体"/>
          <w:color w:val="auto"/>
          <w:highlight w:val="none"/>
          <w:lang w:val="en-US" w:eastAsia="zh-CN"/>
        </w:rPr>
        <w:t>3</w:t>
      </w:r>
      <w:r>
        <w:rPr>
          <w:rFonts w:hint="eastAsia" w:ascii="宋体" w:hAnsi="宋体" w:eastAsia="宋体" w:cs="宋体"/>
          <w:color w:val="auto"/>
          <w:sz w:val="24"/>
          <w:highlight w:val="none"/>
          <w:lang w:val="en-US" w:eastAsia="zh-CN"/>
        </w:rPr>
        <w:t>投标分项报价表，不仅应包括所有人员的工资、法定节假日加班费、休息日加班费、社保、公积金、福利费</w:t>
      </w:r>
      <w:r>
        <w:rPr>
          <w:rFonts w:hint="eastAsia" w:ascii="宋体" w:hAnsi="宋体" w:eastAsia="宋体" w:cs="宋体"/>
          <w:color w:val="auto"/>
          <w:sz w:val="24"/>
          <w:highlight w:val="none"/>
          <w:lang w:eastAsia="zh-CN"/>
        </w:rPr>
        <w:t>材料损耗费、劳务费、保险费、管理费、配合费、培训、税金、利润、风险费、不可预见费及其他一切相关费用等所需的全部费用的价格体现，凡漏项或少计均视为优惠，甲方不另行增加费用。各类风险和政策性调整等风险已包括在投标报价中，最终结算时除合同约定调整外一律不予调整。</w:t>
      </w:r>
    </w:p>
    <w:p w14:paraId="7092DE76">
      <w:pPr>
        <w:pStyle w:val="32"/>
        <w:keepNext w:val="0"/>
        <w:keepLines w:val="0"/>
        <w:pageBreakBefore w:val="0"/>
        <w:widowControl w:val="0"/>
        <w:spacing w:beforeAutospacing="0" w:afterAutospacing="0" w:line="360" w:lineRule="auto"/>
        <w:ind w:firstLine="482"/>
        <w:jc w:val="both"/>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zh-CN"/>
        </w:rPr>
        <w:t>1</w:t>
      </w:r>
      <w:r>
        <w:rPr>
          <w:rFonts w:hint="eastAsia" w:ascii="宋体" w:hAnsi="宋体" w:eastAsia="宋体" w:cs="宋体"/>
          <w:b w:val="0"/>
          <w:bCs w:val="0"/>
          <w:color w:val="auto"/>
          <w:highlight w:val="none"/>
          <w:lang w:val="en-US" w:eastAsia="zh-CN"/>
        </w:rPr>
        <w:t>2</w:t>
      </w:r>
      <w:r>
        <w:rPr>
          <w:rFonts w:hint="eastAsia" w:ascii="宋体" w:hAnsi="宋体" w:eastAsia="宋体" w:cs="宋体"/>
          <w:b w:val="0"/>
          <w:bCs w:val="0"/>
          <w:color w:val="auto"/>
          <w:highlight w:val="none"/>
          <w:lang w:val="zh-CN"/>
        </w:rPr>
        <w:t>.</w:t>
      </w:r>
      <w:r>
        <w:rPr>
          <w:rFonts w:hint="eastAsia" w:ascii="宋体" w:hAnsi="宋体" w:eastAsia="宋体" w:cs="宋体"/>
          <w:b w:val="0"/>
          <w:bCs w:val="0"/>
          <w:color w:val="auto"/>
          <w:highlight w:val="none"/>
          <w:lang w:val="en-US" w:eastAsia="zh-CN"/>
        </w:rPr>
        <w:t>4</w:t>
      </w:r>
      <w:r>
        <w:rPr>
          <w:rFonts w:hint="eastAsia" w:ascii="宋体" w:hAnsi="宋体" w:eastAsia="宋体" w:cs="宋体"/>
          <w:b w:val="0"/>
          <w:bCs w:val="0"/>
          <w:color w:val="auto"/>
          <w:highlight w:val="none"/>
          <w:lang w:val="zh-CN"/>
        </w:rPr>
        <w:t>人员工资及相关费用测算依据：</w:t>
      </w:r>
      <w:r>
        <w:rPr>
          <w:rFonts w:hint="eastAsia" w:ascii="宋体" w:hAnsi="宋体" w:eastAsia="宋体" w:cs="宋体"/>
          <w:b w:val="0"/>
          <w:bCs w:val="0"/>
          <w:color w:val="auto"/>
          <w:highlight w:val="none"/>
          <w:lang w:val="zh-CN" w:eastAsia="zh-CN"/>
        </w:rPr>
        <w:t>所有人员工资不低于本市最低工资标准</w:t>
      </w:r>
      <w:r>
        <w:rPr>
          <w:rFonts w:hint="eastAsia" w:ascii="宋体" w:hAnsi="宋体" w:eastAsia="宋体" w:cs="宋体"/>
          <w:b w:val="0"/>
          <w:bCs w:val="0"/>
          <w:color w:val="auto"/>
          <w:highlight w:val="none"/>
          <w:lang w:val="en-US" w:eastAsia="zh-CN"/>
        </w:rPr>
        <w:t>2673</w:t>
      </w:r>
      <w:r>
        <w:rPr>
          <w:rFonts w:hint="eastAsia" w:ascii="宋体" w:hAnsi="宋体" w:eastAsia="宋体" w:cs="宋体"/>
          <w:b w:val="0"/>
          <w:bCs w:val="0"/>
          <w:color w:val="auto"/>
          <w:highlight w:val="none"/>
          <w:lang w:val="zh-CN" w:eastAsia="zh-CN"/>
        </w:rPr>
        <w:t>元/人</w:t>
      </w:r>
      <w:r>
        <w:rPr>
          <w:rFonts w:hint="eastAsia" w:ascii="宋体" w:hAnsi="宋体" w:eastAsia="宋体" w:cs="宋体"/>
          <w:b w:val="0"/>
          <w:bCs w:val="0"/>
          <w:color w:val="auto"/>
          <w:highlight w:val="none"/>
          <w:lang w:val="en-US" w:eastAsia="zh-CN"/>
        </w:rPr>
        <w:t>每</w:t>
      </w:r>
      <w:r>
        <w:rPr>
          <w:rFonts w:hint="eastAsia" w:ascii="宋体" w:hAnsi="宋体" w:eastAsia="宋体" w:cs="宋体"/>
          <w:b w:val="0"/>
          <w:bCs w:val="0"/>
          <w:color w:val="auto"/>
          <w:highlight w:val="none"/>
          <w:lang w:val="zh-CN" w:eastAsia="zh-CN"/>
        </w:rPr>
        <w:t>月（按照《关于进一步保障全省环卫行业工人合法权益的实施意见》月工资收入不得低于当地最低工资标准的110%的硬性规定）</w:t>
      </w:r>
      <w:r>
        <w:rPr>
          <w:rFonts w:hint="eastAsia" w:ascii="宋体" w:hAnsi="宋体" w:eastAsia="宋体" w:cs="宋体"/>
          <w:b w:val="0"/>
          <w:bCs w:val="0"/>
          <w:color w:val="auto"/>
          <w:highlight w:val="none"/>
          <w:lang w:val="zh-CN"/>
        </w:rPr>
        <w:t>、社保费用应执行江苏省省人力资源社会保障厅、省财政厅、省医疗保障局、省税务局关于发布2025年度社会保险有关基数的通知，五险（缴费基数为4</w:t>
      </w:r>
      <w:r>
        <w:rPr>
          <w:rFonts w:hint="eastAsia" w:ascii="宋体" w:hAnsi="宋体" w:eastAsia="宋体" w:cs="宋体"/>
          <w:b w:val="0"/>
          <w:bCs w:val="0"/>
          <w:color w:val="auto"/>
          <w:highlight w:val="none"/>
          <w:lang w:val="en-US" w:eastAsia="zh-CN"/>
        </w:rPr>
        <w:t>952</w:t>
      </w:r>
      <w:r>
        <w:rPr>
          <w:rFonts w:hint="eastAsia" w:ascii="宋体" w:hAnsi="宋体" w:eastAsia="宋体" w:cs="宋体"/>
          <w:b w:val="0"/>
          <w:bCs w:val="0"/>
          <w:color w:val="auto"/>
          <w:highlight w:val="none"/>
          <w:lang w:val="zh-CN"/>
        </w:rPr>
        <w:t>元，养老保险16%、医疗保险8%、工伤保险0.7%、生育保险0.9%、失业保险0.5%，按1</w:t>
      </w:r>
      <w:r>
        <w:rPr>
          <w:rFonts w:hint="eastAsia" w:ascii="宋体" w:hAnsi="宋体" w:eastAsia="宋体" w:cs="宋体"/>
          <w:b w:val="0"/>
          <w:bCs w:val="0"/>
          <w:color w:val="auto"/>
          <w:highlight w:val="none"/>
          <w:lang w:val="en-US" w:eastAsia="zh-CN"/>
        </w:rPr>
        <w:t>292.47</w:t>
      </w:r>
      <w:r>
        <w:rPr>
          <w:rFonts w:hint="eastAsia" w:ascii="宋体" w:hAnsi="宋体" w:eastAsia="宋体" w:cs="宋体"/>
          <w:b w:val="0"/>
          <w:bCs w:val="0"/>
          <w:color w:val="auto"/>
          <w:highlight w:val="none"/>
          <w:lang w:val="zh-CN"/>
        </w:rPr>
        <w:t>元/人/月测算，所有人员夏季高温津贴按国家相关规定执行，不低于</w:t>
      </w:r>
      <w:r>
        <w:rPr>
          <w:rFonts w:hint="eastAsia" w:ascii="宋体" w:hAnsi="宋体" w:eastAsia="宋体" w:cs="宋体"/>
          <w:b w:val="0"/>
          <w:bCs w:val="0"/>
          <w:color w:val="auto"/>
          <w:highlight w:val="none"/>
          <w:lang w:val="zh-CN" w:eastAsia="zh-CN"/>
        </w:rPr>
        <w:t>1600</w:t>
      </w:r>
      <w:r>
        <w:rPr>
          <w:rFonts w:hint="eastAsia" w:ascii="宋体" w:hAnsi="宋体" w:eastAsia="宋体" w:cs="宋体"/>
          <w:b w:val="0"/>
          <w:bCs w:val="0"/>
          <w:color w:val="auto"/>
          <w:highlight w:val="none"/>
          <w:lang w:val="zh-CN"/>
        </w:rPr>
        <w:t>元/人每年(</w:t>
      </w:r>
      <w:r>
        <w:rPr>
          <w:rFonts w:hint="eastAsia" w:ascii="宋体" w:hAnsi="宋体" w:eastAsia="宋体" w:cs="宋体"/>
          <w:b w:val="0"/>
          <w:bCs w:val="0"/>
          <w:color w:val="auto"/>
          <w:highlight w:val="none"/>
          <w:lang w:val="en-US" w:eastAsia="zh-CN"/>
        </w:rPr>
        <w:t>4</w:t>
      </w:r>
      <w:r>
        <w:rPr>
          <w:rFonts w:hint="eastAsia" w:ascii="宋体" w:hAnsi="宋体" w:eastAsia="宋体" w:cs="宋体"/>
          <w:b w:val="0"/>
          <w:bCs w:val="0"/>
          <w:color w:val="auto"/>
          <w:highlight w:val="none"/>
          <w:lang w:val="zh-CN"/>
        </w:rPr>
        <w:t>00×4)，法定节假日加班费</w:t>
      </w:r>
      <w:r>
        <w:rPr>
          <w:rFonts w:hint="eastAsia" w:ascii="宋体" w:hAnsi="宋体" w:eastAsia="宋体" w:cs="宋体"/>
          <w:b w:val="0"/>
          <w:bCs w:val="0"/>
          <w:color w:val="auto"/>
          <w:highlight w:val="none"/>
          <w:lang w:val="en-US" w:eastAsia="zh-CN"/>
        </w:rPr>
        <w:t>4357.24</w:t>
      </w:r>
      <w:r>
        <w:rPr>
          <w:rFonts w:hint="eastAsia" w:ascii="宋体" w:hAnsi="宋体" w:eastAsia="宋体" w:cs="宋体"/>
          <w:b w:val="0"/>
          <w:bCs w:val="0"/>
          <w:color w:val="auto"/>
          <w:highlight w:val="none"/>
          <w:lang w:val="zh-CN"/>
        </w:rPr>
        <w:t>元/人/年（</w:t>
      </w:r>
      <w:r>
        <w:rPr>
          <w:rFonts w:hint="eastAsia" w:ascii="宋体" w:hAnsi="宋体" w:eastAsia="宋体" w:cs="宋体"/>
          <w:b w:val="0"/>
          <w:bCs w:val="0"/>
          <w:color w:val="auto"/>
          <w:highlight w:val="none"/>
          <w:lang w:val="en-US" w:eastAsia="zh-CN"/>
        </w:rPr>
        <w:t>2430</w:t>
      </w:r>
      <w:r>
        <w:rPr>
          <w:rFonts w:hint="eastAsia" w:ascii="宋体" w:hAnsi="宋体" w:eastAsia="宋体" w:cs="宋体"/>
          <w:b w:val="0"/>
          <w:bCs w:val="0"/>
          <w:color w:val="auto"/>
          <w:highlight w:val="none"/>
          <w:lang w:val="zh-CN"/>
        </w:rPr>
        <w:t>元/21.75天*3倍*1</w:t>
      </w:r>
      <w:r>
        <w:rPr>
          <w:rFonts w:hint="eastAsia" w:ascii="宋体" w:hAnsi="宋体" w:eastAsia="宋体" w:cs="宋体"/>
          <w:b w:val="0"/>
          <w:bCs w:val="0"/>
          <w:color w:val="auto"/>
          <w:highlight w:val="none"/>
          <w:lang w:val="en-US" w:eastAsia="zh-CN"/>
        </w:rPr>
        <w:t>3</w:t>
      </w:r>
      <w:r>
        <w:rPr>
          <w:rFonts w:hint="eastAsia" w:ascii="宋体" w:hAnsi="宋体" w:eastAsia="宋体" w:cs="宋体"/>
          <w:b w:val="0"/>
          <w:bCs w:val="0"/>
          <w:color w:val="auto"/>
          <w:highlight w:val="none"/>
          <w:lang w:val="zh-CN"/>
        </w:rPr>
        <w:t>天），休息日加班费</w:t>
      </w:r>
      <w:r>
        <w:rPr>
          <w:rFonts w:hint="eastAsia" w:ascii="宋体" w:hAnsi="宋体" w:eastAsia="宋体" w:cs="宋体"/>
          <w:b w:val="0"/>
          <w:bCs w:val="0"/>
          <w:color w:val="auto"/>
          <w:highlight w:val="none"/>
          <w:lang w:val="en-US" w:eastAsia="zh-CN"/>
        </w:rPr>
        <w:t>11619.31</w:t>
      </w:r>
      <w:r>
        <w:rPr>
          <w:rFonts w:hint="eastAsia" w:ascii="宋体" w:hAnsi="宋体" w:eastAsia="宋体" w:cs="宋体"/>
          <w:b w:val="0"/>
          <w:bCs w:val="0"/>
          <w:color w:val="auto"/>
          <w:highlight w:val="none"/>
          <w:lang w:val="zh-CN"/>
        </w:rPr>
        <w:t>元/人/年（</w:t>
      </w:r>
      <w:r>
        <w:rPr>
          <w:rFonts w:hint="eastAsia" w:ascii="宋体" w:hAnsi="宋体" w:eastAsia="宋体" w:cs="宋体"/>
          <w:b w:val="0"/>
          <w:bCs w:val="0"/>
          <w:color w:val="auto"/>
          <w:highlight w:val="none"/>
          <w:lang w:val="en-US" w:eastAsia="zh-CN"/>
        </w:rPr>
        <w:t>2430元</w:t>
      </w:r>
      <w:r>
        <w:rPr>
          <w:rFonts w:hint="eastAsia" w:ascii="宋体" w:hAnsi="宋体" w:eastAsia="宋体" w:cs="宋体"/>
          <w:b w:val="0"/>
          <w:bCs w:val="0"/>
          <w:color w:val="auto"/>
          <w:highlight w:val="none"/>
          <w:lang w:val="zh-CN"/>
        </w:rPr>
        <w:t>/21.75*2*52），</w:t>
      </w:r>
      <w:r>
        <w:rPr>
          <w:rFonts w:hint="eastAsia" w:ascii="宋体" w:hAnsi="宋体" w:eastAsia="宋体" w:cs="宋体"/>
          <w:b w:val="0"/>
          <w:bCs w:val="0"/>
          <w:color w:val="auto"/>
          <w:highlight w:val="none"/>
          <w:lang w:val="en-US" w:eastAsia="zh-CN"/>
        </w:rPr>
        <w:t>住房公积金不得低于114元人</w:t>
      </w:r>
      <w:r>
        <w:rPr>
          <w:rFonts w:hint="default" w:ascii="宋体" w:hAnsi="宋体" w:eastAsia="宋体" w:cs="宋体"/>
          <w:b w:val="0"/>
          <w:bCs w:val="0"/>
          <w:color w:val="auto"/>
          <w:highlight w:val="none"/>
          <w:lang w:val="en-US" w:eastAsia="zh-CN"/>
        </w:rPr>
        <w:t>/</w:t>
      </w:r>
      <w:r>
        <w:rPr>
          <w:rFonts w:hint="eastAsia" w:ascii="宋体" w:hAnsi="宋体" w:eastAsia="宋体" w:cs="宋体"/>
          <w:b w:val="0"/>
          <w:bCs w:val="0"/>
          <w:color w:val="auto"/>
          <w:highlight w:val="none"/>
          <w:lang w:val="en-US" w:eastAsia="zh-CN"/>
        </w:rPr>
        <w:t>每月，</w:t>
      </w:r>
      <w:r>
        <w:rPr>
          <w:rFonts w:hint="eastAsia" w:ascii="宋体" w:hAnsi="宋体" w:eastAsia="宋体" w:cs="宋体"/>
          <w:b w:val="0"/>
          <w:bCs w:val="0"/>
          <w:color w:val="auto"/>
          <w:highlight w:val="none"/>
          <w:lang w:val="zh-CN"/>
        </w:rPr>
        <w:t>各投标人统一按照6.72%缴纳法定税费，低于此费用的投标报价符合性审查不通过。</w:t>
      </w:r>
    </w:p>
    <w:p w14:paraId="600925A8">
      <w:pPr>
        <w:pStyle w:val="32"/>
        <w:keepNext w:val="0"/>
        <w:keepLines w:val="0"/>
        <w:pageBreakBefore w:val="0"/>
        <w:widowControl w:val="0"/>
        <w:spacing w:beforeAutospacing="0" w:afterAutospacing="0" w:line="360" w:lineRule="auto"/>
        <w:ind w:firstLine="482"/>
        <w:jc w:val="both"/>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zh-CN"/>
        </w:rPr>
        <w:t>注：法定节假日的加班工资（因行业的特殊性，采购人要求所有项目组成员在11天法定节假日全员上班；休息日人员按50%的比例上班，故按52个休息日测算人员加班费，且采购人将对工资、福利的发放，保险的缴纳，项目组成员上班出勤率等进行考核。）以不低于国家及本省相关规定测算，低于此费用的投标报价符合性审查不通过且作废标处理。(投标人需考虑每年最低工资增长产生的额外费用，由此产生的额外支出，甲方不作费用调整）。</w:t>
      </w:r>
    </w:p>
    <w:p w14:paraId="087DCD20">
      <w:pPr>
        <w:pStyle w:val="32"/>
        <w:keepNext w:val="0"/>
        <w:keepLines w:val="0"/>
        <w:pageBreakBefore w:val="0"/>
        <w:widowControl w:val="0"/>
        <w:spacing w:beforeAutospacing="0" w:afterAutospacing="0" w:line="360" w:lineRule="auto"/>
        <w:ind w:firstLine="482"/>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highlight w:val="none"/>
          <w:lang w:val="zh-CN"/>
        </w:rPr>
        <w:t>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p>
    <w:p w14:paraId="4A62B329">
      <w:pPr>
        <w:pStyle w:val="32"/>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zh-CN"/>
        </w:rPr>
        <w:t>1</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val="zh-CN"/>
        </w:rPr>
        <w:t>.4其它费用处理</w:t>
      </w:r>
    </w:p>
    <w:p w14:paraId="38F0CEF3">
      <w:pPr>
        <w:pStyle w:val="32"/>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zh-CN"/>
        </w:rPr>
        <w:t>招标文件未列明，而投标人认为必需的费用也需列入报价。</w:t>
      </w:r>
    </w:p>
    <w:p w14:paraId="0CDD4788">
      <w:pPr>
        <w:pStyle w:val="32"/>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zh-CN"/>
        </w:rPr>
        <w:t>1</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val="zh-CN"/>
        </w:rPr>
        <w:t>.5投标货币</w:t>
      </w:r>
    </w:p>
    <w:p w14:paraId="46CD649A">
      <w:pPr>
        <w:pStyle w:val="32"/>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zh-CN"/>
        </w:rPr>
        <w:t>投标文件中的货物单价和总价无特殊规定的采用人民币报价，以元为单位标注。招标文件中另有规定的按规定执行。</w:t>
      </w:r>
    </w:p>
    <w:p w14:paraId="6C0B6C86">
      <w:pPr>
        <w:pStyle w:val="32"/>
        <w:keepNext w:val="0"/>
        <w:keepLines w:val="0"/>
        <w:pageBreakBefore w:val="0"/>
        <w:widowControl w:val="0"/>
        <w:spacing w:beforeAutospacing="0" w:afterAutospacing="0" w:line="360" w:lineRule="auto"/>
        <w:ind w:firstLine="480"/>
        <w:jc w:val="both"/>
        <w:rPr>
          <w:rFonts w:hint="eastAsia" w:ascii="宋体" w:hAnsi="宋体" w:eastAsia="宋体" w:cs="宋体"/>
          <w:sz w:val="24"/>
          <w:szCs w:val="24"/>
          <w:highlight w:val="yellow"/>
        </w:rPr>
      </w:pPr>
      <w:r>
        <w:rPr>
          <w:rFonts w:hint="eastAsia" w:ascii="宋体" w:hAnsi="宋体" w:eastAsia="宋体" w:cs="宋体"/>
          <w:color w:val="auto"/>
          <w:highlight w:val="none"/>
          <w:lang w:val="zh-CN"/>
        </w:rPr>
        <w:t>1</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val="zh-CN"/>
        </w:rPr>
        <w:t>.6 项目单价按招标文件要求填报。</w:t>
      </w:r>
    </w:p>
    <w:p w14:paraId="3E71C8AC">
      <w:pPr>
        <w:pStyle w:val="14"/>
        <w:keepNext/>
        <w:keepLines/>
        <w:spacing w:beforeAutospacing="0" w:afterAutospacing="0" w:line="360" w:lineRule="auto"/>
        <w:ind w:firstLine="420"/>
        <w:jc w:val="both"/>
        <w:rPr>
          <w:rFonts w:hint="eastAsia" w:ascii="宋体" w:hAnsi="宋体" w:eastAsia="宋体" w:cs="宋体"/>
          <w:sz w:val="24"/>
          <w:szCs w:val="24"/>
          <w:highlight w:val="none"/>
        </w:rPr>
      </w:pPr>
      <w:bookmarkStart w:id="102" w:name="_Hlt26670425"/>
      <w:bookmarkStart w:id="103" w:name="_Hlt26670403"/>
      <w:bookmarkStart w:id="104" w:name="_Hlt26954846"/>
      <w:bookmarkStart w:id="105" w:name="_Hlt26954848"/>
      <w:bookmarkStart w:id="106" w:name="_Hlt26954844"/>
      <w:bookmarkStart w:id="107" w:name="_Hlt26670482"/>
      <w:bookmarkStart w:id="108" w:name="_Hlt26954842"/>
      <w:bookmarkStart w:id="109" w:name="_Hlt26668983"/>
      <w:bookmarkStart w:id="110" w:name="_Hlt26954731"/>
      <w:bookmarkStart w:id="111" w:name="_Hlt26670486"/>
      <w:r>
        <w:rPr>
          <w:rFonts w:hint="eastAsia" w:ascii="宋体" w:hAnsi="宋体" w:eastAsia="宋体" w:cs="宋体"/>
          <w:color w:val="000000"/>
          <w:sz w:val="24"/>
          <w:szCs w:val="24"/>
          <w:highlight w:val="none"/>
        </w:rPr>
        <w:t>13、技术要求响应及偏离表、商务要求响应及偏离表</w:t>
      </w:r>
    </w:p>
    <w:p w14:paraId="7633F01F">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13.1投标人需对招标文件中的技术要求与商务要求逐项作出响应或偏离，并说明原因。</w:t>
      </w:r>
    </w:p>
    <w:p w14:paraId="39ED4825">
      <w:pPr>
        <w:pStyle w:val="14"/>
        <w:tabs>
          <w:tab w:val="left" w:pos="1036"/>
        </w:tabs>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13.2投标人可在投标文件中提供认为需要的其他技术文件或说明。</w:t>
      </w:r>
    </w:p>
    <w:p w14:paraId="3BCCF779">
      <w:pPr>
        <w:pStyle w:val="14"/>
        <w:keepNext/>
        <w:keepLines/>
        <w:spacing w:beforeAutospacing="0" w:afterAutospacing="0" w:line="360" w:lineRule="auto"/>
        <w:ind w:firstLine="420"/>
        <w:jc w:val="both"/>
        <w:rPr>
          <w:rFonts w:hint="eastAsia" w:ascii="宋体" w:hAnsi="宋体" w:eastAsia="宋体" w:cs="宋体"/>
          <w:sz w:val="24"/>
          <w:szCs w:val="24"/>
          <w:highlight w:val="none"/>
        </w:rPr>
      </w:pPr>
      <w:bookmarkStart w:id="112" w:name="_Toc14577359"/>
      <w:bookmarkStart w:id="113" w:name="_Toc49090510"/>
      <w:r>
        <w:rPr>
          <w:rFonts w:hint="eastAsia" w:ascii="宋体" w:hAnsi="宋体" w:eastAsia="宋体" w:cs="宋体"/>
          <w:color w:val="000000"/>
          <w:sz w:val="24"/>
          <w:szCs w:val="24"/>
          <w:highlight w:val="none"/>
        </w:rPr>
        <w:t>14、投标函和开标一览表</w:t>
      </w:r>
      <w:bookmarkEnd w:id="112"/>
      <w:bookmarkEnd w:id="113"/>
    </w:p>
    <w:p w14:paraId="1BEB9EC7">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14.1投标人应按照招标文件中提供的格式完整、正确填写投标函、开标一览表。</w:t>
      </w:r>
    </w:p>
    <w:p w14:paraId="63A61873">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w:t>
      </w:r>
    </w:p>
    <w:p w14:paraId="53CB0256">
      <w:pPr>
        <w:pStyle w:val="14"/>
        <w:keepNext/>
        <w:keepLines/>
        <w:spacing w:beforeAutospacing="0" w:afterAutospacing="0" w:line="360" w:lineRule="auto"/>
        <w:ind w:firstLine="420"/>
        <w:jc w:val="both"/>
        <w:rPr>
          <w:rFonts w:hint="eastAsia" w:ascii="宋体" w:hAnsi="宋体" w:eastAsia="宋体" w:cs="宋体"/>
          <w:sz w:val="24"/>
          <w:szCs w:val="24"/>
          <w:highlight w:val="none"/>
        </w:rPr>
      </w:pPr>
      <w:bookmarkStart w:id="114" w:name="_Toc14577360"/>
      <w:bookmarkStart w:id="115" w:name="_Toc49090511"/>
      <w:bookmarkStart w:id="116" w:name="_Hlt26954850"/>
      <w:bookmarkStart w:id="117" w:name="_Hlt26670489"/>
      <w:bookmarkStart w:id="118" w:name="_Hlt26954734"/>
      <w:r>
        <w:rPr>
          <w:rFonts w:hint="eastAsia" w:ascii="宋体" w:hAnsi="宋体" w:eastAsia="宋体" w:cs="宋体"/>
          <w:color w:val="000000"/>
          <w:sz w:val="24"/>
          <w:szCs w:val="24"/>
          <w:highlight w:val="none"/>
        </w:rPr>
        <w:t>15、投标有效期</w:t>
      </w:r>
      <w:bookmarkEnd w:id="114"/>
      <w:bookmarkEnd w:id="115"/>
    </w:p>
    <w:p w14:paraId="6CB8DD62">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15.1投标有效期为</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规定的开标之日后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000000"/>
          <w:sz w:val="24"/>
          <w:szCs w:val="24"/>
          <w:highlight w:val="none"/>
        </w:rPr>
        <w:t>。投标有效期比规定短的将被视为未实质性响应招标文件而予以拒绝。</w:t>
      </w:r>
    </w:p>
    <w:p w14:paraId="0A08692B">
      <w:pPr>
        <w:pStyle w:val="14"/>
        <w:keepNext/>
        <w:keepLines/>
        <w:spacing w:beforeAutospacing="0" w:afterAutospacing="0" w:line="360" w:lineRule="auto"/>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16、投标有效期的延长</w:t>
      </w:r>
    </w:p>
    <w:p w14:paraId="580C2F5C">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16.1在特殊情况下，</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的这一要求而放弃投标。同意延长投标有效期的投标人既不能要求也不允许修改其投标文件，同时受投标有效期约束的所有权利与义务均延长至新的有效期。</w:t>
      </w:r>
    </w:p>
    <w:p w14:paraId="1E06A6BF">
      <w:pPr>
        <w:pStyle w:val="14"/>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119" w:name="_Toc16938540"/>
      <w:bookmarkStart w:id="120" w:name="_Toc20823296"/>
      <w:bookmarkStart w:id="121" w:name="_Toc513029224"/>
      <w:bookmarkStart w:id="122" w:name="_Toc120614217"/>
      <w:bookmarkStart w:id="123" w:name="_Hlt26954852"/>
      <w:bookmarkStart w:id="124" w:name="_Hlt26954739"/>
      <w:r>
        <w:rPr>
          <w:rFonts w:hint="eastAsia" w:ascii="宋体" w:hAnsi="宋体" w:eastAsia="宋体" w:cs="宋体"/>
          <w:b/>
          <w:color w:val="000000"/>
          <w:sz w:val="24"/>
          <w:szCs w:val="24"/>
          <w:highlight w:val="none"/>
        </w:rPr>
        <w:t>四、投标文件的递交</w:t>
      </w:r>
      <w:bookmarkEnd w:id="119"/>
      <w:bookmarkEnd w:id="120"/>
      <w:bookmarkEnd w:id="121"/>
      <w:bookmarkEnd w:id="122"/>
    </w:p>
    <w:p w14:paraId="4C633EA9">
      <w:pPr>
        <w:pStyle w:val="14"/>
        <w:spacing w:beforeAutospacing="0" w:afterAutospacing="0" w:line="360" w:lineRule="auto"/>
        <w:ind w:firstLine="480"/>
        <w:jc w:val="both"/>
        <w:rPr>
          <w:rFonts w:hint="eastAsia" w:ascii="宋体" w:hAnsi="宋体" w:eastAsia="宋体" w:cs="宋体"/>
          <w:color w:val="000000"/>
          <w:sz w:val="24"/>
          <w:szCs w:val="24"/>
          <w:highlight w:val="none"/>
        </w:rPr>
      </w:pPr>
      <w:bookmarkStart w:id="125" w:name="_Toc462564084"/>
      <w:bookmarkStart w:id="126" w:name="_Toc16938541"/>
      <w:bookmarkStart w:id="127" w:name="_Toc513029225"/>
      <w:bookmarkStart w:id="128" w:name="_Toc20823297"/>
      <w:r>
        <w:rPr>
          <w:rFonts w:hint="eastAsia" w:ascii="宋体" w:hAnsi="宋体" w:eastAsia="宋体" w:cs="宋体"/>
          <w:color w:val="000000"/>
          <w:sz w:val="24"/>
          <w:szCs w:val="24"/>
          <w:highlight w:val="none"/>
        </w:rPr>
        <w:t>17、投标文件</w:t>
      </w:r>
      <w:bookmarkEnd w:id="125"/>
      <w:bookmarkEnd w:id="126"/>
      <w:bookmarkEnd w:id="127"/>
      <w:bookmarkEnd w:id="128"/>
      <w:r>
        <w:rPr>
          <w:rFonts w:hint="eastAsia" w:ascii="宋体" w:hAnsi="宋体" w:eastAsia="宋体" w:cs="宋体"/>
          <w:color w:val="000000"/>
          <w:sz w:val="24"/>
          <w:szCs w:val="24"/>
          <w:highlight w:val="none"/>
        </w:rPr>
        <w:t>的递交</w:t>
      </w:r>
    </w:p>
    <w:p w14:paraId="26BFC676">
      <w:pPr>
        <w:pStyle w:val="14"/>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17.1 电子投标文件的递交</w:t>
      </w:r>
    </w:p>
    <w:p w14:paraId="65F6134F">
      <w:pPr>
        <w:pStyle w:val="14"/>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投标人应当按照《操作手册》规定，在投标截止时间前制作并上传电子投标文件。</w:t>
      </w:r>
      <w:bookmarkStart w:id="129" w:name="_Toc16938542"/>
      <w:bookmarkEnd w:id="129"/>
      <w:bookmarkStart w:id="130" w:name="_Toc20823298"/>
      <w:bookmarkEnd w:id="130"/>
      <w:bookmarkStart w:id="131" w:name="_Toc513029226"/>
    </w:p>
    <w:p w14:paraId="4F21A69A">
      <w:pPr>
        <w:pStyle w:val="14"/>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18、投标截止时间</w:t>
      </w:r>
    </w:p>
    <w:p w14:paraId="674070DF">
      <w:pPr>
        <w:pStyle w:val="14"/>
        <w:spacing w:beforeAutospacing="0" w:afterAutospacing="0" w:line="360" w:lineRule="auto"/>
        <w:ind w:firstLine="480"/>
        <w:jc w:val="both"/>
        <w:rPr>
          <w:rFonts w:hint="eastAsia" w:ascii="宋体" w:hAnsi="宋体" w:eastAsia="宋体" w:cs="宋体"/>
          <w:b w:val="0"/>
          <w:bCs w:val="0"/>
          <w:i/>
          <w:iCs/>
          <w:color w:val="000000"/>
          <w:sz w:val="24"/>
          <w:szCs w:val="24"/>
          <w:highlight w:val="none"/>
          <w:u w:val="single"/>
        </w:rPr>
      </w:pPr>
      <w:r>
        <w:rPr>
          <w:rFonts w:hint="eastAsia" w:ascii="宋体" w:hAnsi="宋体" w:eastAsia="宋体" w:cs="宋体"/>
          <w:color w:val="000000"/>
          <w:sz w:val="24"/>
          <w:szCs w:val="24"/>
          <w:highlight w:val="none"/>
        </w:rPr>
        <w:t>18.1</w:t>
      </w:r>
      <w:r>
        <w:rPr>
          <w:rFonts w:hint="eastAsia" w:ascii="宋体" w:hAnsi="宋体" w:eastAsia="宋体" w:cs="宋体"/>
          <w:b w:val="0"/>
          <w:bCs w:val="0"/>
          <w:i/>
          <w:iCs/>
          <w:color w:val="000000"/>
          <w:sz w:val="24"/>
          <w:szCs w:val="24"/>
          <w:highlight w:val="none"/>
          <w:u w:val="single"/>
        </w:rPr>
        <w:t>投标人上传电子投标文件的时间不得迟于招标公告中规定的投标截止时间。</w:t>
      </w:r>
    </w:p>
    <w:p w14:paraId="237BBC07">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投标人应充分考虑到网络环境、网络带宽等风险因素，如因投标人自身原因造成的电子投标文件上传不成功的按照本招标文件第二章第26.1.2条规定做无效投标处理。</w:t>
      </w:r>
    </w:p>
    <w:p w14:paraId="120F6522">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18.2</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可以按照规定，通过修改招标文件酌情延长投标截止时间，在此情况下，投标人的所有权利和义务以及投标人受制的截止时间均应以延长后新的截止时间为准。</w:t>
      </w:r>
    </w:p>
    <w:p w14:paraId="3AECB744">
      <w:pPr>
        <w:pStyle w:val="14"/>
        <w:keepNext/>
        <w:keepLines/>
        <w:spacing w:beforeAutospacing="0" w:afterAutospacing="0" w:line="360" w:lineRule="auto"/>
        <w:ind w:firstLine="420"/>
        <w:jc w:val="both"/>
        <w:rPr>
          <w:rFonts w:hint="eastAsia" w:ascii="宋体" w:hAnsi="宋体" w:eastAsia="宋体" w:cs="宋体"/>
          <w:sz w:val="24"/>
          <w:szCs w:val="24"/>
          <w:highlight w:val="none"/>
        </w:rPr>
      </w:pPr>
      <w:bookmarkStart w:id="132" w:name="_Toc16938543"/>
      <w:bookmarkStart w:id="133" w:name="_Toc513029227"/>
      <w:bookmarkStart w:id="134" w:name="_Toc20823299"/>
      <w:r>
        <w:rPr>
          <w:rFonts w:hint="eastAsia" w:ascii="宋体" w:hAnsi="宋体" w:eastAsia="宋体" w:cs="宋体"/>
          <w:color w:val="000000"/>
          <w:sz w:val="24"/>
          <w:szCs w:val="24"/>
          <w:highlight w:val="none"/>
        </w:rPr>
        <w:t>19、投标文件</w:t>
      </w:r>
      <w:bookmarkEnd w:id="132"/>
      <w:bookmarkEnd w:id="133"/>
      <w:bookmarkEnd w:id="134"/>
      <w:r>
        <w:rPr>
          <w:rFonts w:hint="eastAsia" w:ascii="宋体" w:hAnsi="宋体" w:eastAsia="宋体" w:cs="宋体"/>
          <w:color w:val="000000"/>
          <w:sz w:val="24"/>
          <w:szCs w:val="24"/>
          <w:highlight w:val="none"/>
        </w:rPr>
        <w:t>的拒收</w:t>
      </w:r>
    </w:p>
    <w:p w14:paraId="2B48FBBD">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19.1</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拒绝接收在其规定的投标截止时间后上传的任何投标文件。</w:t>
      </w:r>
    </w:p>
    <w:p w14:paraId="6520AEC0">
      <w:pPr>
        <w:pStyle w:val="14"/>
        <w:keepNext/>
        <w:keepLines/>
        <w:spacing w:beforeAutospacing="0" w:afterAutospacing="0" w:line="360" w:lineRule="auto"/>
        <w:ind w:firstLine="420"/>
        <w:jc w:val="both"/>
        <w:rPr>
          <w:rFonts w:hint="eastAsia" w:ascii="宋体" w:hAnsi="宋体" w:eastAsia="宋体" w:cs="宋体"/>
          <w:sz w:val="24"/>
          <w:szCs w:val="24"/>
          <w:highlight w:val="none"/>
        </w:rPr>
      </w:pPr>
      <w:bookmarkStart w:id="135" w:name="_Toc20823300"/>
      <w:bookmarkStart w:id="136" w:name="_Toc513029228"/>
      <w:bookmarkStart w:id="137" w:name="_Toc16938544"/>
      <w:r>
        <w:rPr>
          <w:rFonts w:hint="eastAsia" w:ascii="宋体" w:hAnsi="宋体" w:eastAsia="宋体" w:cs="宋体"/>
          <w:color w:val="000000"/>
          <w:sz w:val="24"/>
          <w:szCs w:val="24"/>
          <w:highlight w:val="none"/>
        </w:rPr>
        <w:t>20、投标文件的撤回和修改</w:t>
      </w:r>
      <w:bookmarkEnd w:id="135"/>
      <w:bookmarkEnd w:id="136"/>
      <w:bookmarkEnd w:id="137"/>
    </w:p>
    <w:p w14:paraId="2C6476A3">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20.1投标文件的撤回</w:t>
      </w:r>
    </w:p>
    <w:p w14:paraId="72EBA9C8">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.1.1电子投标文件的撤回</w:t>
      </w:r>
    </w:p>
    <w:p w14:paraId="26CBD294">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投标人可在投标截止时间前，撤回其电子投标文件，具体操作方法见《操作手册》。</w:t>
      </w:r>
    </w:p>
    <w:p w14:paraId="3ED51487">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.1.2投标人撤回电子投标文件，则认为其不再参与本项目投标活动。</w:t>
      </w:r>
    </w:p>
    <w:p w14:paraId="090FC03B">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 投标文件的修改</w:t>
      </w:r>
    </w:p>
    <w:p w14:paraId="053F4E45">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20.2.1投标人可在投标截止时间前，对其电子投标文件进行修改，具体操作方法见《操作手册》。</w:t>
      </w:r>
    </w:p>
    <w:p w14:paraId="7AABAAF3">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20.2.2在投标截止时间之后，投标人不得对其电子投标文件作任何修改。</w:t>
      </w:r>
    </w:p>
    <w:p w14:paraId="1BEFAE9D">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20.3在投标截止时间至招标文件中规定的投标有效期满之间的这段时间内，投标人不得撤回其投标。</w:t>
      </w:r>
    </w:p>
    <w:p w14:paraId="1BB23621">
      <w:pPr>
        <w:pStyle w:val="14"/>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138" w:name="_Toc16938545"/>
      <w:bookmarkStart w:id="139" w:name="_Toc513029229"/>
      <w:bookmarkStart w:id="140" w:name="_Toc20823301"/>
      <w:bookmarkStart w:id="141" w:name="_Toc120614218"/>
      <w:r>
        <w:rPr>
          <w:rFonts w:hint="eastAsia" w:ascii="宋体" w:hAnsi="宋体" w:eastAsia="宋体" w:cs="宋体"/>
          <w:b/>
          <w:color w:val="000000"/>
          <w:sz w:val="24"/>
          <w:szCs w:val="24"/>
          <w:highlight w:val="none"/>
        </w:rPr>
        <w:t>五、开标与评标</w:t>
      </w:r>
      <w:bookmarkEnd w:id="138"/>
      <w:bookmarkEnd w:id="139"/>
      <w:bookmarkEnd w:id="140"/>
      <w:bookmarkEnd w:id="141"/>
    </w:p>
    <w:p w14:paraId="2C4C772A">
      <w:pPr>
        <w:pStyle w:val="14"/>
        <w:keepNext/>
        <w:keepLines/>
        <w:spacing w:beforeAutospacing="0" w:afterAutospacing="0" w:line="360" w:lineRule="auto"/>
        <w:ind w:firstLine="420"/>
        <w:jc w:val="both"/>
        <w:rPr>
          <w:rFonts w:hint="eastAsia" w:ascii="宋体" w:hAnsi="宋体" w:eastAsia="宋体" w:cs="宋体"/>
          <w:color w:val="auto"/>
          <w:sz w:val="24"/>
          <w:szCs w:val="24"/>
          <w:highlight w:val="none"/>
        </w:rPr>
      </w:pPr>
      <w:bookmarkStart w:id="142" w:name="_Toc20823302"/>
      <w:bookmarkStart w:id="143" w:name="_Toc513029230"/>
      <w:bookmarkStart w:id="144" w:name="_Toc16938546"/>
      <w:r>
        <w:rPr>
          <w:rFonts w:hint="eastAsia" w:ascii="宋体" w:hAnsi="宋体" w:eastAsia="宋体" w:cs="宋体"/>
          <w:color w:val="auto"/>
          <w:sz w:val="24"/>
          <w:szCs w:val="24"/>
          <w:highlight w:val="none"/>
        </w:rPr>
        <w:t>21、开标</w:t>
      </w:r>
      <w:bookmarkEnd w:id="142"/>
      <w:bookmarkEnd w:id="143"/>
      <w:bookmarkEnd w:id="144"/>
    </w:p>
    <w:p w14:paraId="3FFA4913">
      <w:pPr>
        <w:pStyle w:val="14"/>
        <w:spacing w:beforeAutospacing="0" w:afterAutospacing="0" w:line="360" w:lineRule="auto"/>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auto"/>
          <w:sz w:val="24"/>
          <w:szCs w:val="24"/>
          <w:highlight w:val="none"/>
        </w:rPr>
        <w:t>将在招标公告中规定的时间和地点组织公开开标。投标人应当按照《操作手册》规定，参加开标活动和在苏采云系统规定的时间内对投标文件进行解密。</w:t>
      </w:r>
    </w:p>
    <w:p w14:paraId="01390B07">
      <w:pPr>
        <w:pStyle w:val="14"/>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21.2开标仪式由</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auto"/>
          <w:sz w:val="24"/>
          <w:szCs w:val="24"/>
          <w:highlight w:val="none"/>
        </w:rPr>
        <w:t>组织。苏采云系统将自动对项目进行开标，并宣布各投标人名称和投标价格。</w:t>
      </w:r>
    </w:p>
    <w:p w14:paraId="24D42C9F">
      <w:pPr>
        <w:pStyle w:val="14"/>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21.3投标人在开标过程中涉及到的投标文件解密、开标结果确认等工作，应按照《操作手册》规定执行。</w:t>
      </w:r>
    </w:p>
    <w:p w14:paraId="6DF31ED7">
      <w:pPr>
        <w:pStyle w:val="14"/>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21.4投标人如果对开标过程和开标记录有疑义，应当根据《操作手册》规定提出，如苏采云系统中《开标记录表》宣布后5分钟内未提出的，视同认可开标结果。</w:t>
      </w:r>
    </w:p>
    <w:p w14:paraId="388DE53A">
      <w:pPr>
        <w:pStyle w:val="14"/>
        <w:keepNext/>
        <w:keepLines/>
        <w:spacing w:beforeAutospacing="0" w:afterAutospacing="0" w:line="360" w:lineRule="auto"/>
        <w:ind w:firstLine="420"/>
        <w:jc w:val="both"/>
        <w:rPr>
          <w:rFonts w:hint="eastAsia" w:ascii="宋体" w:hAnsi="宋体" w:eastAsia="宋体" w:cs="宋体"/>
          <w:color w:val="auto"/>
          <w:sz w:val="24"/>
          <w:szCs w:val="24"/>
          <w:highlight w:val="none"/>
        </w:rPr>
      </w:pPr>
      <w:bookmarkStart w:id="145" w:name="_Toc513029231"/>
      <w:bookmarkStart w:id="146" w:name="_Toc16938547"/>
      <w:bookmarkStart w:id="147" w:name="_Toc20823303"/>
      <w:r>
        <w:rPr>
          <w:rFonts w:hint="eastAsia" w:ascii="宋体" w:hAnsi="宋体" w:eastAsia="宋体" w:cs="宋体"/>
          <w:color w:val="auto"/>
          <w:sz w:val="24"/>
          <w:szCs w:val="24"/>
          <w:highlight w:val="none"/>
        </w:rPr>
        <w:t>22、评标委员会</w:t>
      </w:r>
      <w:bookmarkEnd w:id="145"/>
      <w:bookmarkEnd w:id="146"/>
      <w:bookmarkEnd w:id="147"/>
    </w:p>
    <w:p w14:paraId="2A744671">
      <w:pPr>
        <w:pStyle w:val="14"/>
        <w:spacing w:beforeAutospacing="0" w:afterAutospacing="0" w:line="360" w:lineRule="auto"/>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22.1开标后，</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将立即组织评标委员会（以下简称评委会）进行评标。</w:t>
      </w:r>
    </w:p>
    <w:p w14:paraId="20656C36">
      <w:pPr>
        <w:pStyle w:val="14"/>
        <w:spacing w:beforeAutospacing="0" w:afterAutospacing="0" w:line="360" w:lineRule="auto"/>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22.2评委会由采购人代表和有关技术、经济等方面的专家组成，且人员构成符合政府采购有关规定。</w:t>
      </w:r>
    </w:p>
    <w:p w14:paraId="1DF8D947">
      <w:pPr>
        <w:pStyle w:val="14"/>
        <w:spacing w:beforeAutospacing="0" w:afterAutospacing="0" w:line="360" w:lineRule="auto"/>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22.3评委会独立工作，负责评审所有投标文件并确定中标</w:t>
      </w:r>
      <w:r>
        <w:rPr>
          <w:rFonts w:hint="eastAsia" w:ascii="宋体" w:hAnsi="宋体" w:eastAsia="宋体" w:cs="宋体"/>
          <w:color w:val="000000"/>
          <w:sz w:val="24"/>
          <w:szCs w:val="24"/>
          <w:highlight w:val="none"/>
          <w:lang w:eastAsia="zh-CN"/>
        </w:rPr>
        <w:t>候选人</w:t>
      </w:r>
      <w:r>
        <w:rPr>
          <w:rFonts w:hint="eastAsia" w:ascii="宋体" w:hAnsi="宋体" w:eastAsia="宋体" w:cs="宋体"/>
          <w:color w:val="000000"/>
          <w:sz w:val="24"/>
          <w:szCs w:val="24"/>
          <w:highlight w:val="none"/>
        </w:rPr>
        <w:t>。</w:t>
      </w:r>
    </w:p>
    <w:p w14:paraId="28C925DA">
      <w:pPr>
        <w:pStyle w:val="14"/>
        <w:keepNext/>
        <w:keepLines/>
        <w:spacing w:beforeAutospacing="0" w:afterAutospacing="0" w:line="360" w:lineRule="auto"/>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23、评标过程的保密与公正</w:t>
      </w:r>
    </w:p>
    <w:p w14:paraId="57F459E2">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23.1凡是与审查、澄清、评价和比较投标的有关资料以及授标建议等，采购人、评委、</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均不得向投标人或与评标无关的其他人员透露。</w:t>
      </w:r>
    </w:p>
    <w:p w14:paraId="390A3B58">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23.2在评标过程中，投标人不得以任何行为影响评标过程，否则其投标文件将被作为无效投标文件。</w:t>
      </w:r>
    </w:p>
    <w:p w14:paraId="50BCF125">
      <w:pPr>
        <w:pStyle w:val="14"/>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23.</w:t>
      </w:r>
      <w:r>
        <w:rPr>
          <w:rFonts w:hint="eastAsia" w:ascii="宋体" w:hAnsi="宋体" w:eastAsia="宋体" w:cs="宋体"/>
          <w:color w:val="auto"/>
          <w:sz w:val="24"/>
          <w:szCs w:val="24"/>
          <w:highlight w:val="none"/>
        </w:rPr>
        <w:t>3</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auto"/>
          <w:sz w:val="24"/>
          <w:szCs w:val="24"/>
          <w:highlight w:val="none"/>
        </w:rPr>
        <w:t>和评标委员会不向未中标的投标人解释未中标原因，也不公布评标过程中的相关细节。</w:t>
      </w:r>
    </w:p>
    <w:p w14:paraId="5811AC55">
      <w:pPr>
        <w:pStyle w:val="14"/>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23.4采用综合评分法的项目，未中标的</w:t>
      </w:r>
      <w:r>
        <w:rPr>
          <w:rFonts w:hint="eastAsia" w:ascii="宋体" w:hAnsi="宋体" w:eastAsia="宋体" w:cs="宋体"/>
          <w:color w:val="000000"/>
          <w:sz w:val="24"/>
          <w:szCs w:val="24"/>
          <w:highlight w:val="none"/>
        </w:rPr>
        <w:t>投标人可于中标结果公告期限届满之日起通过苏采云系统查看自己的评审得分及排序情况。</w:t>
      </w:r>
    </w:p>
    <w:p w14:paraId="54153DDE">
      <w:pPr>
        <w:pStyle w:val="14"/>
        <w:keepNext/>
        <w:keepLines/>
        <w:spacing w:beforeAutospacing="0" w:afterAutospacing="0" w:line="360" w:lineRule="auto"/>
        <w:ind w:firstLine="420"/>
        <w:jc w:val="both"/>
        <w:rPr>
          <w:rFonts w:hint="eastAsia" w:ascii="宋体" w:hAnsi="宋体" w:eastAsia="宋体" w:cs="宋体"/>
          <w:sz w:val="24"/>
          <w:szCs w:val="24"/>
          <w:highlight w:val="none"/>
        </w:rPr>
      </w:pPr>
      <w:bookmarkStart w:id="148" w:name="_Toc20823304"/>
      <w:bookmarkStart w:id="149" w:name="_Toc513029232"/>
      <w:bookmarkStart w:id="150" w:name="_Toc16938548"/>
      <w:r>
        <w:rPr>
          <w:rFonts w:hint="eastAsia" w:ascii="宋体" w:hAnsi="宋体" w:eastAsia="宋体" w:cs="宋体"/>
          <w:color w:val="000000"/>
          <w:sz w:val="24"/>
          <w:szCs w:val="24"/>
          <w:highlight w:val="none"/>
        </w:rPr>
        <w:t>24、投标文件的澄清</w:t>
      </w:r>
      <w:bookmarkEnd w:id="148"/>
      <w:bookmarkEnd w:id="149"/>
      <w:bookmarkEnd w:id="150"/>
    </w:p>
    <w:p w14:paraId="26A54FE7">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24.1评标期间，评委会对投标文件中含义不明确、同类问题表述不一致或者有明显文字和计算错误的内容 ，有权要求投标人作出必要的澄清、说明或者补正。</w:t>
      </w:r>
    </w:p>
    <w:p w14:paraId="29F4FB70">
      <w:pPr>
        <w:pStyle w:val="14"/>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投标人的澄清、说明或者补正不得超出投标文件的范围或者改变投标文件的实质性内容。</w:t>
      </w:r>
    </w:p>
    <w:p w14:paraId="3B1C0700">
      <w:pPr>
        <w:pStyle w:val="14"/>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36C4B1EC">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投标文件的补充部分，具体操作方式见《操作手册》。</w:t>
      </w:r>
    </w:p>
    <w:p w14:paraId="40AB8EBE">
      <w:pPr>
        <w:pStyle w:val="14"/>
        <w:spacing w:beforeAutospacing="0" w:afterAutospacing="0" w:line="360" w:lineRule="auto"/>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24.3接到评委会澄清、说明和补正要求的投标人如未按规定</w:t>
      </w:r>
      <w:r>
        <w:rPr>
          <w:rFonts w:hint="eastAsia" w:ascii="宋体" w:hAnsi="宋体" w:eastAsia="宋体" w:cs="宋体"/>
          <w:color w:val="000000"/>
          <w:sz w:val="24"/>
          <w:szCs w:val="24"/>
          <w:highlight w:val="none"/>
          <w:lang w:eastAsia="zh-CN"/>
        </w:rPr>
        <w:t>作出</w:t>
      </w:r>
      <w:r>
        <w:rPr>
          <w:rFonts w:hint="eastAsia" w:ascii="宋体" w:hAnsi="宋体" w:eastAsia="宋体" w:cs="宋体"/>
          <w:color w:val="000000"/>
          <w:sz w:val="24"/>
          <w:szCs w:val="24"/>
          <w:highlight w:val="none"/>
        </w:rPr>
        <w:t>澄清、说明和补正，其风险由投标人自行承担。</w:t>
      </w:r>
    </w:p>
    <w:p w14:paraId="6E30B691">
      <w:pPr>
        <w:pStyle w:val="14"/>
        <w:keepNext/>
        <w:keepLines/>
        <w:spacing w:beforeAutospacing="0" w:afterAutospacing="0" w:line="360" w:lineRule="auto"/>
        <w:ind w:firstLine="420"/>
        <w:jc w:val="both"/>
        <w:rPr>
          <w:rFonts w:hint="eastAsia" w:ascii="宋体" w:hAnsi="宋体" w:eastAsia="宋体" w:cs="宋体"/>
          <w:sz w:val="24"/>
          <w:szCs w:val="24"/>
          <w:highlight w:val="none"/>
        </w:rPr>
      </w:pPr>
      <w:bookmarkStart w:id="151" w:name="_Toc20823305"/>
      <w:bookmarkStart w:id="152" w:name="_Toc513029233"/>
      <w:bookmarkStart w:id="153" w:name="_Toc16938549"/>
      <w:r>
        <w:rPr>
          <w:rFonts w:hint="eastAsia" w:ascii="宋体" w:hAnsi="宋体" w:eastAsia="宋体" w:cs="宋体"/>
          <w:color w:val="000000"/>
          <w:sz w:val="24"/>
          <w:szCs w:val="24"/>
          <w:highlight w:val="none"/>
        </w:rPr>
        <w:t>25、对投标文件的初审</w:t>
      </w:r>
      <w:bookmarkEnd w:id="151"/>
      <w:bookmarkEnd w:id="152"/>
      <w:bookmarkEnd w:id="153"/>
    </w:p>
    <w:p w14:paraId="71756E3B">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25.1投标文件初审分为资格审查和符合性审查。</w:t>
      </w:r>
    </w:p>
    <w:p w14:paraId="18F44AD5">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25.1.1资格审查：依据法律法规和招标文件的规定，由采购人对投标文件中的资格证明文件进行审查。资格审查的结论，采购人以书面形式向评委会进行反馈。</w:t>
      </w:r>
    </w:p>
    <w:p w14:paraId="6A4B8600">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采购人在进行资格性审查的同时，将在“信用中国”网站（www.creditchina.gov.cn）查询投标人的信用记录，以确定投标人是否具备投标资格,查询结果留存并归档。</w:t>
      </w:r>
    </w:p>
    <w:p w14:paraId="45C5179D">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0E1B06C9">
      <w:pPr>
        <w:pStyle w:val="14"/>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25.1.2符合性审查：依据招标文件的规定，由评委会从投标文件的有效性、完整性和对招标文件的响应程度进行审查，以确定是否对招标文件的实质性要求作出响应。</w:t>
      </w:r>
    </w:p>
    <w:p w14:paraId="0FC7AF8F">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25.1.3未通过资格审查或符合性审查的投标人，</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auto"/>
          <w:sz w:val="24"/>
          <w:szCs w:val="24"/>
          <w:highlight w:val="none"/>
        </w:rPr>
        <w:t>将在苏采云系统中告知未通过资格审查或符合性审查的原因，评标结束后，</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auto"/>
          <w:sz w:val="24"/>
          <w:szCs w:val="24"/>
          <w:highlight w:val="none"/>
        </w:rPr>
        <w:t>将不再告知</w:t>
      </w:r>
      <w:r>
        <w:rPr>
          <w:rFonts w:hint="eastAsia" w:ascii="宋体" w:hAnsi="宋体" w:eastAsia="宋体" w:cs="宋体"/>
          <w:color w:val="000000"/>
          <w:sz w:val="24"/>
          <w:szCs w:val="24"/>
          <w:highlight w:val="none"/>
        </w:rPr>
        <w:t>未通过资格审查和符合性审查的原因。</w:t>
      </w:r>
    </w:p>
    <w:p w14:paraId="21A80F1A">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02F1C0AD">
      <w:pPr>
        <w:pStyle w:val="14"/>
        <w:pageBreakBefore w:val="0"/>
        <w:widowControl w:val="0"/>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auto"/>
          <w:highlight w:val="none"/>
          <w:lang w:val="en-US" w:eastAsia="zh-CN"/>
        </w:rPr>
        <w:t>采购代理机构</w:t>
      </w:r>
      <w:r>
        <w:rPr>
          <w:rFonts w:hint="eastAsia" w:ascii="宋体" w:hAnsi="宋体" w:eastAsia="宋体" w:cs="宋体"/>
          <w:color w:val="auto"/>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77D1C32">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25.3如果投标文件实质上没有响应招标文件的要求，评委会将予以拒绝，投标人不得通过修改或撤销不合要求的偏离或保留而使其投标成为实质性响应的投标。</w:t>
      </w:r>
    </w:p>
    <w:p w14:paraId="4FCA6640">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25.4评委会将对确定为实质性响应的投标进行进一步审核，确定其是否有计算上或累加上的算术错误，修正错误的原则如下：</w:t>
      </w:r>
    </w:p>
    <w:p w14:paraId="463946E2">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（1）投标文件中开标一览表内容与投标文件中相应内容不一致的，以开标一览表为准。</w:t>
      </w:r>
    </w:p>
    <w:p w14:paraId="4AA7B771">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（2）大写金额和小写金额不一致的，以大写金额为准。</w:t>
      </w:r>
    </w:p>
    <w:p w14:paraId="44F56D61">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（3）单价金额小数点或者百分比有明显错位的，以开标一览表的总价为准，并修改单价。</w:t>
      </w:r>
    </w:p>
    <w:p w14:paraId="0157CF21">
      <w:pPr>
        <w:pStyle w:val="14"/>
        <w:spacing w:beforeAutospacing="0" w:afterAutospacing="0" w:line="360"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（4）总价金额与按单价汇总金额不一致的，以单价金额计算结果为准。</w:t>
      </w:r>
    </w:p>
    <w:p w14:paraId="2D36D6CA">
      <w:pPr>
        <w:pStyle w:val="14"/>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1143D9AB">
      <w:pPr>
        <w:pStyle w:val="14"/>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1230C2C8">
      <w:pPr>
        <w:pStyle w:val="14"/>
        <w:spacing w:beforeAutospacing="0" w:afterAutospacing="0" w:line="360" w:lineRule="auto"/>
        <w:ind w:firstLine="420"/>
        <w:jc w:val="both"/>
        <w:rPr>
          <w:rFonts w:hint="eastAsia" w:ascii="宋体" w:hAnsi="宋体" w:eastAsia="宋体" w:cs="宋体"/>
          <w:color w:val="auto"/>
          <w:sz w:val="24"/>
          <w:szCs w:val="24"/>
          <w:highlight w:val="none"/>
        </w:rPr>
      </w:pPr>
      <w:bookmarkStart w:id="154" w:name="_Toc513029234"/>
      <w:bookmarkStart w:id="155" w:name="_Toc16938550"/>
      <w:bookmarkStart w:id="156" w:name="_Toc20823306"/>
      <w:r>
        <w:rPr>
          <w:rFonts w:hint="eastAsia" w:ascii="宋体" w:hAnsi="宋体" w:eastAsia="宋体" w:cs="宋体"/>
          <w:color w:val="auto"/>
          <w:sz w:val="24"/>
          <w:szCs w:val="24"/>
          <w:highlight w:val="none"/>
        </w:rPr>
        <w:t>25.6投标人在开、评标全过程中应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，及时登录苏采云系统查阅、答复相关信息，并安排专人与</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及评标委员会联系。</w:t>
      </w:r>
      <w:bookmarkEnd w:id="154"/>
      <w:bookmarkEnd w:id="155"/>
      <w:bookmarkEnd w:id="156"/>
    </w:p>
    <w:p w14:paraId="25F3BE20">
      <w:pPr>
        <w:pStyle w:val="14"/>
        <w:keepNext/>
        <w:keepLines/>
        <w:pageBreakBefore w:val="0"/>
        <w:widowControl w:val="0"/>
        <w:kinsoku/>
        <w:wordWrap/>
        <w:overflowPunct/>
        <w:topLinePunct w:val="0"/>
        <w:autoSpaceDE/>
        <w:autoSpaceDN/>
        <w:bidi w:val="0"/>
        <w:adjustRightInd/>
        <w:snapToGrid/>
        <w:spacing w:beforeAutospacing="0" w:afterAutospacing="0" w:line="288" w:lineRule="auto"/>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26、无效投标条款和废标条款</w:t>
      </w:r>
    </w:p>
    <w:p w14:paraId="7FB12682">
      <w:pPr>
        <w:pStyle w:val="14"/>
        <w:pageBreakBefore w:val="0"/>
        <w:widowControl w:val="0"/>
        <w:kinsoku/>
        <w:wordWrap/>
        <w:overflowPunct/>
        <w:topLinePunct w:val="0"/>
        <w:autoSpaceDE/>
        <w:autoSpaceDN/>
        <w:bidi w:val="0"/>
        <w:adjustRightInd/>
        <w:snapToGrid/>
        <w:spacing w:beforeAutospacing="0" w:afterAutospacing="0" w:line="288" w:lineRule="auto"/>
        <w:ind w:left="479"/>
        <w:jc w:val="both"/>
        <w:textAlignment w:val="auto"/>
        <w:rPr>
          <w:rFonts w:hint="eastAsia" w:ascii="宋体" w:hAnsi="宋体" w:eastAsia="宋体" w:cs="宋体"/>
          <w:color w:val="auto"/>
          <w:sz w:val="24"/>
          <w:szCs w:val="24"/>
          <w:highlight w:val="none"/>
        </w:rPr>
      </w:pPr>
      <w:bookmarkStart w:id="157" w:name="_Toc513029235"/>
      <w:bookmarkStart w:id="158" w:name="_Toc16938551"/>
      <w:bookmarkStart w:id="159" w:name="_Toc20823307"/>
      <w:r>
        <w:rPr>
          <w:rFonts w:hint="eastAsia" w:ascii="宋体" w:hAnsi="宋体" w:eastAsia="宋体" w:cs="宋体"/>
          <w:color w:val="auto"/>
          <w:sz w:val="24"/>
          <w:szCs w:val="24"/>
          <w:highlight w:val="none"/>
        </w:rPr>
        <w:t>26.1无效投标条款</w:t>
      </w:r>
      <w:bookmarkEnd w:id="157"/>
      <w:bookmarkEnd w:id="158"/>
      <w:bookmarkEnd w:id="159"/>
    </w:p>
    <w:p w14:paraId="53B8CA9C">
      <w:pPr>
        <w:pStyle w:val="14"/>
        <w:pageBreakBefore w:val="0"/>
        <w:widowControl w:val="0"/>
        <w:kinsoku/>
        <w:wordWrap/>
        <w:overflowPunct/>
        <w:topLinePunct w:val="0"/>
        <w:autoSpaceDE/>
        <w:autoSpaceDN/>
        <w:bidi w:val="0"/>
        <w:adjustRightInd/>
        <w:snapToGrid/>
        <w:spacing w:beforeAutospacing="0" w:afterAutospacing="0" w:line="288"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26.1.1投标人在苏采云系统规定的时间内未成功解密电子投标文件的。</w:t>
      </w:r>
    </w:p>
    <w:p w14:paraId="66D8985D">
      <w:pPr>
        <w:pStyle w:val="14"/>
        <w:pageBreakBefore w:val="0"/>
        <w:widowControl w:val="0"/>
        <w:kinsoku/>
        <w:wordWrap/>
        <w:overflowPunct/>
        <w:topLinePunct w:val="0"/>
        <w:autoSpaceDE/>
        <w:autoSpaceDN/>
        <w:bidi w:val="0"/>
        <w:adjustRightInd/>
        <w:snapToGrid/>
        <w:spacing w:beforeAutospacing="0" w:afterAutospacing="0" w:line="288"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26.1.2投标人未按照招标文件要求上传电子投标文件的。</w:t>
      </w:r>
    </w:p>
    <w:p w14:paraId="435C93E7">
      <w:pPr>
        <w:pStyle w:val="14"/>
        <w:pageBreakBefore w:val="0"/>
        <w:widowControl w:val="0"/>
        <w:kinsoku/>
        <w:wordWrap/>
        <w:overflowPunct/>
        <w:topLinePunct w:val="0"/>
        <w:autoSpaceDE/>
        <w:autoSpaceDN/>
        <w:bidi w:val="0"/>
        <w:adjustRightInd/>
        <w:snapToGrid/>
        <w:spacing w:beforeAutospacing="0" w:afterAutospacing="0" w:line="288" w:lineRule="auto"/>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26.1.3同一投标人提交两个（含两个）以上不同的投标报价的。</w:t>
      </w:r>
    </w:p>
    <w:p w14:paraId="2DA1CF55">
      <w:pPr>
        <w:pStyle w:val="14"/>
        <w:pageBreakBefore w:val="0"/>
        <w:widowControl w:val="0"/>
        <w:kinsoku/>
        <w:wordWrap/>
        <w:overflowPunct/>
        <w:topLinePunct w:val="0"/>
        <w:autoSpaceDE/>
        <w:autoSpaceDN/>
        <w:bidi w:val="0"/>
        <w:adjustRightInd/>
        <w:snapToGrid/>
        <w:spacing w:beforeAutospacing="0" w:afterAutospacing="0" w:line="288" w:lineRule="auto"/>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26.1.4投标人不具备招标文件中规定资格要求的。</w:t>
      </w:r>
    </w:p>
    <w:p w14:paraId="3BA9591A">
      <w:pPr>
        <w:pStyle w:val="14"/>
        <w:pageBreakBefore w:val="0"/>
        <w:widowControl w:val="0"/>
        <w:kinsoku/>
        <w:wordWrap/>
        <w:overflowPunct/>
        <w:topLinePunct w:val="0"/>
        <w:autoSpaceDE/>
        <w:autoSpaceDN/>
        <w:bidi w:val="0"/>
        <w:adjustRightInd/>
        <w:snapToGrid/>
        <w:spacing w:beforeAutospacing="0" w:afterAutospacing="0" w:line="288"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26.1.5投标人的报价超过了采购预算或最高限价的。</w:t>
      </w:r>
    </w:p>
    <w:p w14:paraId="05DAFB39">
      <w:pPr>
        <w:pStyle w:val="14"/>
        <w:pageBreakBefore w:val="0"/>
        <w:widowControl w:val="0"/>
        <w:kinsoku/>
        <w:wordWrap/>
        <w:overflowPunct/>
        <w:topLinePunct w:val="0"/>
        <w:autoSpaceDE/>
        <w:autoSpaceDN/>
        <w:bidi w:val="0"/>
        <w:adjustRightInd/>
        <w:snapToGrid/>
        <w:spacing w:beforeAutospacing="0" w:afterAutospacing="0" w:line="288"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26.1.6未通过符合性审查的。</w:t>
      </w:r>
    </w:p>
    <w:p w14:paraId="41A1E490">
      <w:pPr>
        <w:pStyle w:val="14"/>
        <w:pageBreakBefore w:val="0"/>
        <w:widowControl w:val="0"/>
        <w:kinsoku/>
        <w:wordWrap/>
        <w:overflowPunct/>
        <w:topLinePunct w:val="0"/>
        <w:autoSpaceDE/>
        <w:autoSpaceDN/>
        <w:bidi w:val="0"/>
        <w:adjustRightInd/>
        <w:snapToGrid/>
        <w:spacing w:beforeAutospacing="0" w:afterAutospacing="0" w:line="288" w:lineRule="auto"/>
        <w:ind w:firstLine="36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26.1.7不符合招标文件中规定的实质性要求和条件的（</w:t>
      </w:r>
      <w:r>
        <w:rPr>
          <w:rFonts w:hint="eastAsia" w:ascii="宋体" w:hAnsi="宋体" w:eastAsia="宋体" w:cs="宋体"/>
          <w:i/>
          <w:color w:val="000000"/>
          <w:sz w:val="24"/>
          <w:szCs w:val="24"/>
          <w:highlight w:val="none"/>
          <w:u w:val="single"/>
        </w:rPr>
        <w:t>本招标文件中斜体且有下划线部分为实质性要求和条件）。</w:t>
      </w:r>
    </w:p>
    <w:p w14:paraId="43387AC7">
      <w:pPr>
        <w:pStyle w:val="14"/>
        <w:pageBreakBefore w:val="0"/>
        <w:widowControl w:val="0"/>
        <w:kinsoku/>
        <w:wordWrap/>
        <w:overflowPunct/>
        <w:topLinePunct w:val="0"/>
        <w:autoSpaceDE/>
        <w:autoSpaceDN/>
        <w:bidi w:val="0"/>
        <w:adjustRightInd/>
        <w:snapToGrid/>
        <w:spacing w:beforeAutospacing="0" w:afterAutospacing="0" w:line="288"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B16356A">
      <w:pPr>
        <w:pStyle w:val="14"/>
        <w:pageBreakBefore w:val="0"/>
        <w:widowControl w:val="0"/>
        <w:kinsoku/>
        <w:wordWrap/>
        <w:overflowPunct/>
        <w:topLinePunct w:val="0"/>
        <w:autoSpaceDE/>
        <w:autoSpaceDN/>
        <w:bidi w:val="0"/>
        <w:adjustRightInd/>
        <w:snapToGrid/>
        <w:spacing w:beforeAutospacing="0" w:afterAutospacing="0" w:line="288"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26.1.9投标文件含有采购人不能接受的附加条件的。</w:t>
      </w:r>
    </w:p>
    <w:p w14:paraId="5F9051F7">
      <w:pPr>
        <w:pStyle w:val="14"/>
        <w:pageBreakBefore w:val="0"/>
        <w:widowControl w:val="0"/>
        <w:kinsoku/>
        <w:wordWrap/>
        <w:overflowPunct/>
        <w:topLinePunct w:val="0"/>
        <w:autoSpaceDE/>
        <w:autoSpaceDN/>
        <w:bidi w:val="0"/>
        <w:adjustRightInd/>
        <w:snapToGrid/>
        <w:spacing w:beforeAutospacing="0" w:afterAutospacing="0" w:line="288" w:lineRule="auto"/>
        <w:ind w:firstLine="48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26.1.10投标人不能证明其报价合理性的，评</w:t>
      </w:r>
      <w:r>
        <w:rPr>
          <w:rFonts w:hint="eastAsia" w:ascii="宋体" w:hAnsi="宋体" w:eastAsia="宋体" w:cs="宋体"/>
          <w:b w:val="0"/>
          <w:bCs w:val="0"/>
          <w:color w:val="auto"/>
          <w:sz w:val="24"/>
          <w:szCs w:val="24"/>
          <w:highlight w:val="none"/>
          <w:lang w:val="en-US" w:eastAsia="zh-CN"/>
        </w:rPr>
        <w:t>标</w:t>
      </w:r>
      <w:r>
        <w:rPr>
          <w:rFonts w:hint="eastAsia" w:ascii="宋体" w:hAnsi="宋体" w:eastAsia="宋体" w:cs="宋体"/>
          <w:b w:val="0"/>
          <w:bCs w:val="0"/>
          <w:color w:val="auto"/>
          <w:sz w:val="24"/>
          <w:szCs w:val="24"/>
          <w:highlight w:val="none"/>
        </w:rPr>
        <w:t>委员会应当将其作为无效投标处理。</w:t>
      </w:r>
    </w:p>
    <w:p w14:paraId="6F27A046">
      <w:pPr>
        <w:pStyle w:val="14"/>
        <w:spacing w:beforeAutospacing="0" w:afterAutospacing="0" w:line="0" w:lineRule="atLeast"/>
        <w:ind w:firstLine="480"/>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（一）评审过程中出现下列情形之一的，评标委员会应当启动异常低价投标审查程序：</w:t>
      </w:r>
    </w:p>
    <w:p w14:paraId="029D404A">
      <w:pPr>
        <w:pStyle w:val="14"/>
        <w:spacing w:before="0" w:beforeAutospacing="0" w:after="0" w:afterAutospacing="0" w:line="0" w:lineRule="atLeast"/>
        <w:ind w:left="0" w:right="0"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91012DE">
      <w:pPr>
        <w:pStyle w:val="14"/>
        <w:spacing w:before="0" w:beforeAutospacing="0" w:after="0" w:afterAutospacing="0" w:line="0" w:lineRule="atLeast"/>
        <w:ind w:left="0" w:right="0"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8E26264">
      <w:pPr>
        <w:pStyle w:val="14"/>
        <w:spacing w:before="0" w:beforeAutospacing="0" w:after="0" w:afterAutospacing="0" w:line="0" w:lineRule="atLeast"/>
        <w:ind w:left="0" w:right="0"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3.投标（响应）报价低于采购项目最高限价45%的，即投标（响应）报价&lt;采购项目最高限价×45%；</w:t>
      </w:r>
    </w:p>
    <w:p w14:paraId="6B93ED46">
      <w:pPr>
        <w:pStyle w:val="14"/>
        <w:spacing w:before="0" w:beforeAutospacing="0" w:after="0" w:afterAutospacing="0" w:line="0" w:lineRule="atLeast"/>
        <w:ind w:left="0" w:right="0"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4.评审委员会基于专业判断，认为供应商报价过低，有可能影响产品质量或者不能诚信履约的其他情形。</w:t>
      </w:r>
    </w:p>
    <w:p w14:paraId="4BE739D2">
      <w:pPr>
        <w:pStyle w:val="14"/>
        <w:spacing w:before="0" w:beforeAutospacing="0" w:after="0" w:afterAutospacing="0" w:line="0" w:lineRule="atLeast"/>
        <w:ind w:left="0" w:right="0"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u w:val="single"/>
          <w:lang w:val="en-US" w:eastAsia="zh-CN" w:bidi="ar-SA"/>
        </w:rPr>
        <w:t>提醒：采购人可以结合具体项目实际情况，提高上述第1项至第3项中启动异常低价投标（响应）审查的数值标准，但是最高不得超过65%</w:t>
      </w:r>
      <w:r>
        <w:rPr>
          <w:rFonts w:hint="eastAsia" w:ascii="宋体" w:hAnsi="宋体" w:eastAsia="宋体" w:cs="宋体"/>
          <w:b w:val="0"/>
          <w:bCs w:val="0"/>
          <w:color w:val="auto"/>
          <w:sz w:val="24"/>
          <w:szCs w:val="24"/>
          <w:highlight w:val="none"/>
          <w:lang w:val="en-US" w:eastAsia="zh-CN" w:bidi="ar-SA"/>
        </w:rPr>
        <w:t>。</w:t>
      </w:r>
    </w:p>
    <w:p w14:paraId="6E14DBF3">
      <w:pPr>
        <w:pStyle w:val="14"/>
        <w:spacing w:before="0" w:beforeAutospacing="0" w:after="0" w:afterAutospacing="0" w:line="0" w:lineRule="atLeast"/>
        <w:ind w:left="0" w:right="0"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相关法律法规对供应商报价有规定的，从其规定。</w:t>
      </w:r>
    </w:p>
    <w:p w14:paraId="209516AE">
      <w:pPr>
        <w:pStyle w:val="14"/>
        <w:spacing w:before="0" w:beforeAutospacing="0" w:after="0" w:afterAutospacing="0" w:line="0" w:lineRule="atLeast"/>
        <w:ind w:left="0" w:right="0"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14"/>
        <w:spacing w:before="0" w:beforeAutospacing="0" w:after="0" w:afterAutospacing="0" w:line="0" w:lineRule="atLeast"/>
        <w:ind w:left="0" w:right="0"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14"/>
        <w:spacing w:before="0" w:beforeAutospacing="0" w:after="0" w:afterAutospacing="0" w:line="0" w:lineRule="atLeast"/>
        <w:ind w:left="0" w:right="0"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0AF4C96">
      <w:pPr>
        <w:pStyle w:val="14"/>
        <w:spacing w:before="0" w:beforeAutospacing="0" w:after="0" w:afterAutospacing="0" w:line="0" w:lineRule="atLeast"/>
        <w:ind w:left="0" w:right="0"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18627F4F">
      <w:pPr>
        <w:pStyle w:val="14"/>
        <w:keepNext w:val="0"/>
        <w:keepLines w:val="0"/>
        <w:pageBreakBefore w:val="0"/>
        <w:widowControl w:val="0"/>
        <w:kinsoku/>
        <w:wordWrap/>
        <w:overflowPunct/>
        <w:topLinePunct w:val="0"/>
        <w:autoSpaceDE/>
        <w:autoSpaceDN/>
        <w:bidi w:val="0"/>
        <w:adjustRightInd/>
        <w:snapToGrid/>
        <w:spacing w:beforeAutospacing="0" w:afterAutospacing="0" w:line="288"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26.1.11投标文件未按照招标文件要求加盖CA电子公章的。</w:t>
      </w:r>
    </w:p>
    <w:p w14:paraId="742E7BA7">
      <w:pPr>
        <w:pStyle w:val="14"/>
        <w:keepNext w:val="0"/>
        <w:keepLines w:val="0"/>
        <w:pageBreakBefore w:val="0"/>
        <w:widowControl w:val="0"/>
        <w:kinsoku/>
        <w:wordWrap/>
        <w:overflowPunct/>
        <w:topLinePunct w:val="0"/>
        <w:autoSpaceDE/>
        <w:autoSpaceDN/>
        <w:bidi w:val="0"/>
        <w:adjustRightInd/>
        <w:snapToGrid/>
        <w:spacing w:beforeAutospacing="0" w:afterAutospacing="0" w:line="288"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26.1.12其他法律、法规及本招标文件规定的属无效投标的情形。</w:t>
      </w:r>
    </w:p>
    <w:p w14:paraId="2ACAC68A">
      <w:pPr>
        <w:pStyle w:val="14"/>
        <w:keepNext w:val="0"/>
        <w:keepLines w:val="0"/>
        <w:pageBreakBefore w:val="0"/>
        <w:widowControl w:val="0"/>
        <w:kinsoku/>
        <w:wordWrap/>
        <w:overflowPunct/>
        <w:topLinePunct w:val="0"/>
        <w:autoSpaceDE/>
        <w:autoSpaceDN/>
        <w:bidi w:val="0"/>
        <w:adjustRightInd/>
        <w:snapToGrid/>
        <w:spacing w:beforeAutospacing="0" w:afterAutospacing="0" w:line="288" w:lineRule="auto"/>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26.2废标条款</w:t>
      </w:r>
    </w:p>
    <w:p w14:paraId="5626BAE3">
      <w:pPr>
        <w:pStyle w:val="14"/>
        <w:keepNext w:val="0"/>
        <w:keepLines w:val="0"/>
        <w:pageBreakBefore w:val="0"/>
        <w:widowControl w:val="0"/>
        <w:kinsoku/>
        <w:wordWrap/>
        <w:overflowPunct/>
        <w:topLinePunct w:val="0"/>
        <w:autoSpaceDE/>
        <w:autoSpaceDN/>
        <w:bidi w:val="0"/>
        <w:adjustRightInd/>
        <w:snapToGrid/>
        <w:spacing w:beforeAutospacing="0" w:afterAutospacing="0"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26.2.1符合专业条件的供应商或者对招标文件作实质响应的供应商不足三家的。</w:t>
      </w:r>
    </w:p>
    <w:p w14:paraId="76ABCD28">
      <w:pPr>
        <w:pStyle w:val="14"/>
        <w:keepNext w:val="0"/>
        <w:keepLines w:val="0"/>
        <w:pageBreakBefore w:val="0"/>
        <w:widowControl w:val="0"/>
        <w:kinsoku/>
        <w:wordWrap/>
        <w:overflowPunct/>
        <w:topLinePunct w:val="0"/>
        <w:autoSpaceDE/>
        <w:autoSpaceDN/>
        <w:bidi w:val="0"/>
        <w:adjustRightInd/>
        <w:snapToGrid/>
        <w:spacing w:beforeAutospacing="0" w:afterAutospacing="0" w:line="288" w:lineRule="auto"/>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26.2.2出现影响采购公正的违法、违规行为的。</w:t>
      </w:r>
    </w:p>
    <w:p w14:paraId="6837BF2C">
      <w:pPr>
        <w:pStyle w:val="14"/>
        <w:keepNext w:val="0"/>
        <w:keepLines w:val="0"/>
        <w:pageBreakBefore w:val="0"/>
        <w:widowControl w:val="0"/>
        <w:kinsoku/>
        <w:wordWrap/>
        <w:overflowPunct/>
        <w:topLinePunct w:val="0"/>
        <w:autoSpaceDE/>
        <w:autoSpaceDN/>
        <w:bidi w:val="0"/>
        <w:adjustRightInd/>
        <w:snapToGrid/>
        <w:spacing w:beforeAutospacing="0" w:afterAutospacing="0" w:line="288" w:lineRule="auto"/>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26.2.3因重大变故，采购任务取消的。</w:t>
      </w:r>
    </w:p>
    <w:p w14:paraId="571B12E8">
      <w:pPr>
        <w:pStyle w:val="14"/>
        <w:keepNext w:val="0"/>
        <w:keepLines w:val="0"/>
        <w:pageBreakBefore w:val="0"/>
        <w:widowControl w:val="0"/>
        <w:kinsoku/>
        <w:wordWrap/>
        <w:overflowPunct/>
        <w:topLinePunct w:val="0"/>
        <w:autoSpaceDE/>
        <w:autoSpaceDN/>
        <w:bidi w:val="0"/>
        <w:adjustRightInd/>
        <w:snapToGrid/>
        <w:spacing w:beforeAutospacing="0" w:afterAutospacing="0"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26.2.4评标委员会认定招标文件存在歧义、重大缺陷导致评审工作无法进行。</w:t>
      </w:r>
    </w:p>
    <w:p w14:paraId="233CF4F2">
      <w:pPr>
        <w:pStyle w:val="14"/>
        <w:keepNext w:val="0"/>
        <w:keepLines w:val="0"/>
        <w:pageBreakBefore w:val="0"/>
        <w:widowControl w:val="0"/>
        <w:kinsoku/>
        <w:wordWrap/>
        <w:overflowPunct/>
        <w:topLinePunct w:val="0"/>
        <w:autoSpaceDE/>
        <w:autoSpaceDN/>
        <w:bidi w:val="0"/>
        <w:adjustRightInd/>
        <w:snapToGrid/>
        <w:spacing w:beforeAutospacing="0" w:afterAutospacing="0" w:line="288" w:lineRule="auto"/>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26.2.5因苏采云系统系统故障原因造成开标不成功的。</w:t>
      </w:r>
    </w:p>
    <w:p w14:paraId="25998E9E">
      <w:pPr>
        <w:pStyle w:val="14"/>
        <w:spacing w:beforeAutospacing="0" w:afterAutospacing="0" w:line="360" w:lineRule="auto"/>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投标截止时间结束后参加投标的供应商不足三家的处理：</w:t>
      </w:r>
    </w:p>
    <w:p w14:paraId="6F8D70A4">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26.3.1如出现投标截止时间结束后参加投标的供应商或者在评标期间对招标文件做出实质响应的供应商不足三家情况，按政府采购相关规定执行。</w:t>
      </w:r>
    </w:p>
    <w:p w14:paraId="54251A44">
      <w:pPr>
        <w:pStyle w:val="14"/>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160" w:name="_Toc120614219"/>
      <w:r>
        <w:rPr>
          <w:rFonts w:hint="eastAsia" w:ascii="宋体" w:hAnsi="宋体" w:eastAsia="宋体" w:cs="宋体"/>
          <w:b/>
          <w:color w:val="000000"/>
          <w:sz w:val="24"/>
          <w:szCs w:val="24"/>
          <w:highlight w:val="none"/>
        </w:rPr>
        <w:t>六、定标</w:t>
      </w:r>
      <w:bookmarkEnd w:id="160"/>
    </w:p>
    <w:p w14:paraId="609C833C">
      <w:pPr>
        <w:pStyle w:val="14"/>
        <w:keepNext/>
        <w:keepLines/>
        <w:spacing w:beforeAutospacing="0" w:afterAutospacing="0" w:line="360" w:lineRule="auto"/>
        <w:ind w:firstLine="600"/>
        <w:jc w:val="both"/>
        <w:rPr>
          <w:rFonts w:hint="eastAsia" w:ascii="宋体" w:hAnsi="宋体" w:eastAsia="宋体" w:cs="宋体"/>
          <w:sz w:val="24"/>
          <w:szCs w:val="24"/>
          <w:highlight w:val="none"/>
        </w:rPr>
      </w:pPr>
      <w:bookmarkStart w:id="161" w:name="_Toc20823310"/>
      <w:bookmarkStart w:id="162" w:name="_Toc513029238"/>
      <w:bookmarkStart w:id="163" w:name="_Toc16938554"/>
      <w:r>
        <w:rPr>
          <w:rFonts w:hint="eastAsia" w:ascii="宋体" w:hAnsi="宋体" w:eastAsia="宋体" w:cs="宋体"/>
          <w:color w:val="000000"/>
          <w:sz w:val="24"/>
          <w:szCs w:val="24"/>
          <w:highlight w:val="none"/>
        </w:rPr>
        <w:t>27、</w:t>
      </w:r>
      <w:bookmarkEnd w:id="161"/>
      <w:r>
        <w:rPr>
          <w:rFonts w:hint="eastAsia" w:ascii="宋体" w:hAnsi="宋体" w:eastAsia="宋体" w:cs="宋体"/>
          <w:color w:val="000000"/>
          <w:sz w:val="24"/>
          <w:szCs w:val="24"/>
          <w:highlight w:val="none"/>
        </w:rPr>
        <w:t>确定</w:t>
      </w:r>
      <w:bookmarkEnd w:id="162"/>
      <w:bookmarkEnd w:id="163"/>
      <w:r>
        <w:rPr>
          <w:rFonts w:hint="eastAsia" w:ascii="宋体" w:hAnsi="宋体" w:eastAsia="宋体" w:cs="宋体"/>
          <w:color w:val="000000"/>
          <w:sz w:val="24"/>
          <w:szCs w:val="24"/>
          <w:highlight w:val="none"/>
        </w:rPr>
        <w:t>中标单位</w:t>
      </w:r>
    </w:p>
    <w:p w14:paraId="2AB6A907">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p>
    <w:p w14:paraId="17FFA727">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27.2采购人应根据评委会推荐的中标候选人确定中标人。</w:t>
      </w:r>
    </w:p>
    <w:p w14:paraId="1FD1F372">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27.3</w:t>
      </w:r>
      <w:r>
        <w:rPr>
          <w:rFonts w:hint="eastAsia" w:ascii="宋体" w:hAnsi="宋体" w:eastAsia="宋体" w:cs="宋体"/>
          <w:color w:val="auto"/>
          <w:highlight w:val="none"/>
          <w:lang w:val="en-US" w:eastAsia="zh-CN"/>
        </w:rPr>
        <w:t>采购人或</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将在</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盐城市政府采购网”发布中标公告，公告期限为1个工作日。</w:t>
      </w:r>
    </w:p>
    <w:p w14:paraId="41C3973E">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27.4若有充分证据证明，中标人出现下列情况之一的，一经查实，将被取消中标资格：</w:t>
      </w:r>
    </w:p>
    <w:p w14:paraId="685A758D">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27.4.1提供虚假材料谋取中标的。</w:t>
      </w:r>
    </w:p>
    <w:p w14:paraId="5973AA07">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27.4.2向采购人、</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行贿或者提供其他不正当利益的。</w:t>
      </w:r>
    </w:p>
    <w:p w14:paraId="42C47A67">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27.4.3属于本文件规定的无效条件，但在评标过程中又未被评委会发现的。</w:t>
      </w:r>
    </w:p>
    <w:p w14:paraId="2557B7C1">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27.4.4与采购人或者其他供应商恶意串通的。</w:t>
      </w:r>
    </w:p>
    <w:p w14:paraId="39DB40B5">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27.4.5采取不正当手段诋毁、排挤其他供应商的。</w:t>
      </w:r>
    </w:p>
    <w:p w14:paraId="359F1DB9">
      <w:pPr>
        <w:pStyle w:val="14"/>
        <w:spacing w:beforeAutospacing="0" w:afterAutospacing="0" w:line="360" w:lineRule="auto"/>
        <w:ind w:firstLine="480"/>
        <w:jc w:val="both"/>
        <w:rPr>
          <w:rFonts w:hint="eastAsia" w:ascii="宋体" w:hAnsi="宋体" w:eastAsia="宋体" w:cs="宋体"/>
          <w:sz w:val="24"/>
          <w:szCs w:val="24"/>
          <w:highlight w:val="none"/>
        </w:rPr>
      </w:pPr>
      <w:bookmarkStart w:id="164" w:name="_Toc200451960"/>
      <w:r>
        <w:rPr>
          <w:rFonts w:hint="eastAsia" w:ascii="宋体" w:hAnsi="宋体" w:eastAsia="宋体" w:cs="宋体"/>
          <w:color w:val="000000"/>
          <w:sz w:val="24"/>
          <w:szCs w:val="24"/>
          <w:highlight w:val="none"/>
        </w:rPr>
        <w:t>27.5 有下列情形之一的，视为投标人串通投标，投标无效：</w:t>
      </w:r>
      <w:bookmarkEnd w:id="164"/>
    </w:p>
    <w:p w14:paraId="4A4B8D9A">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27.5.1不同投标人的投标文件由同一单位或者个人编制。</w:t>
      </w:r>
    </w:p>
    <w:p w14:paraId="59209E4B">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27.5.2不同投标人委托同一单位或者个人办理投标事宜。</w:t>
      </w:r>
    </w:p>
    <w:p w14:paraId="2A2191CD">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27.5.3不同投标人的投标文件载明的项目管理成员或者联系人员为同一人。</w:t>
      </w:r>
    </w:p>
    <w:p w14:paraId="1D9D00BF">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27.5.4不同投标人的投标文件异常一致或者投标报价呈规律性差异。</w:t>
      </w:r>
    </w:p>
    <w:p w14:paraId="1FA357F7">
      <w:pPr>
        <w:pStyle w:val="14"/>
        <w:keepNext/>
        <w:keepLines/>
        <w:spacing w:beforeAutospacing="0" w:afterAutospacing="0" w:line="360" w:lineRule="auto"/>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28、质疑处理</w:t>
      </w:r>
    </w:p>
    <w:p w14:paraId="4C279A9B">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28.1提出质疑的供应商应当是参与所质疑项目采购活动的供应商。潜在供应商依法获取其可质疑的采购文件的，可以对采购文件提出质疑。</w:t>
      </w:r>
    </w:p>
    <w:p w14:paraId="717781AB">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或采购人提出质疑。上述应知其权益受到损害之日，是指：</w:t>
      </w:r>
    </w:p>
    <w:p w14:paraId="686E0D9F">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28.2.1对可以质疑的采购文件提出质疑的，为收到采购文件之日或者采购文件公告期限届满之日；</w:t>
      </w:r>
    </w:p>
    <w:p w14:paraId="6BCE34BA">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28.2.2对采购过程提出质疑的，为各采购程序环节结束之日；</w:t>
      </w:r>
    </w:p>
    <w:p w14:paraId="5B797334">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28.2.3对中标或者成交结果提出质疑的，为中标或者成交结果公告期限届满之日。</w:t>
      </w:r>
    </w:p>
    <w:p w14:paraId="2D25EC6E">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、采购人将只对供应商第一次质疑作出答复。</w:t>
      </w:r>
    </w:p>
    <w:p w14:paraId="76A90D99">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6DA25A95">
      <w:pPr>
        <w:pStyle w:val="32"/>
        <w:spacing w:beforeAutospacing="0" w:afterAutospacing="0" w:line="360" w:lineRule="auto"/>
        <w:ind w:firstLine="482"/>
        <w:jc w:val="both"/>
        <w:rPr>
          <w:rFonts w:ascii="宋体" w:hAnsi="宋体" w:eastAsia="宋体" w:cs="宋体"/>
          <w:color w:val="auto"/>
          <w:highlight w:val="none"/>
        </w:rPr>
      </w:pPr>
      <w:r>
        <w:rPr>
          <w:rFonts w:hint="eastAsia" w:ascii="宋体" w:hAnsi="宋体" w:eastAsia="宋体" w:cs="宋体"/>
          <w:color w:val="000000"/>
          <w:sz w:val="24"/>
          <w:szCs w:val="24"/>
          <w:highlight w:val="none"/>
        </w:rPr>
        <w:t>28.4</w:t>
      </w:r>
      <w:r>
        <w:rPr>
          <w:rFonts w:hint="eastAsia" w:ascii="宋体" w:hAnsi="宋体" w:eastAsia="宋体" w:cs="宋体"/>
          <w:color w:val="auto"/>
          <w:highlight w:val="none"/>
        </w:rPr>
        <w:t>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p>
    <w:p w14:paraId="31A086DD">
      <w:pPr>
        <w:pStyle w:val="32"/>
        <w:spacing w:beforeAutospacing="0" w:afterAutospacing="0" w:line="360" w:lineRule="auto"/>
        <w:ind w:firstLine="480"/>
        <w:jc w:val="both"/>
        <w:rPr>
          <w:rFonts w:hint="eastAsia" w:ascii="宋体" w:hAnsi="宋体" w:eastAsia="宋体" w:cs="宋体"/>
          <w:color w:val="000000"/>
          <w:kern w:val="0"/>
          <w:sz w:val="24"/>
          <w:szCs w:val="24"/>
          <w:highlight w:val="yellow"/>
          <w:lang w:val="en-US" w:eastAsia="zh-CN" w:bidi="ar-SA"/>
        </w:rPr>
      </w:pPr>
      <w:r>
        <w:rPr>
          <w:rFonts w:hint="eastAsia" w:ascii="宋体" w:hAnsi="宋体" w:eastAsia="宋体" w:cs="宋体"/>
          <w:bCs/>
          <w:color w:val="auto"/>
          <w:highlight w:val="none"/>
        </w:rPr>
        <w:t>采购人及采购代理机构只接收以纸质原件形式送达的质疑,采购人和采购代理机构不接受未填写快递运单的快件。</w:t>
      </w:r>
    </w:p>
    <w:p w14:paraId="37E616A4">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 以下情形的质疑不予受理</w:t>
      </w:r>
    </w:p>
    <w:p w14:paraId="75557581">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28.5.1内容不符合《政府采购质疑和投诉办法》第十二条规定的质疑。</w:t>
      </w:r>
    </w:p>
    <w:p w14:paraId="3875B54A">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28.5.2超出政府采购法定期限的质疑。</w:t>
      </w:r>
    </w:p>
    <w:p w14:paraId="78004B98">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28.5.3以传真、电子邮件等方式递交的非原件形式的质疑。</w:t>
      </w:r>
    </w:p>
    <w:p w14:paraId="355CA4D7">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28.5.4未参加投标活动的供应商或在投标活动中自身权益未受到损害的供应商所提出的质疑。</w:t>
      </w:r>
    </w:p>
    <w:p w14:paraId="111544C6">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28.5.5供应商组成联合体参加投标，联合体中任何一方或多方未按要求签字、盖章、加盖公章的质疑。</w:t>
      </w:r>
    </w:p>
    <w:p w14:paraId="457CF031">
      <w:pPr>
        <w:pStyle w:val="14"/>
        <w:spacing w:beforeAutospacing="0" w:afterAutospacing="0" w:line="360" w:lineRule="auto"/>
        <w:ind w:firstLine="468"/>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有权依据政府采购的有关规定，报请政府采购监管部门对该供应商进行相应的行政处罚和记录该供应商的失信信息。</w:t>
      </w:r>
    </w:p>
    <w:p w14:paraId="03A91BDE">
      <w:pPr>
        <w:pStyle w:val="14"/>
        <w:keepNext/>
        <w:keepLines/>
        <w:spacing w:beforeAutospacing="0" w:afterAutospacing="0" w:line="360" w:lineRule="auto"/>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29、中标通知书</w:t>
      </w:r>
    </w:p>
    <w:p w14:paraId="3BFBC942">
      <w:pPr>
        <w:pStyle w:val="14"/>
        <w:spacing w:beforeAutospacing="0" w:afterAutospacing="0" w:line="360" w:lineRule="auto"/>
        <w:ind w:firstLine="60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29.l中标结果确定后，</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将向中标人发</w:t>
      </w:r>
      <w:r>
        <w:rPr>
          <w:rFonts w:hint="eastAsia" w:ascii="宋体" w:hAnsi="宋体" w:eastAsia="宋体" w:cs="宋体"/>
          <w:color w:val="auto"/>
          <w:sz w:val="24"/>
          <w:szCs w:val="24"/>
          <w:highlight w:val="none"/>
        </w:rPr>
        <w:t>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CC1F91B">
      <w:pPr>
        <w:pStyle w:val="14"/>
        <w:spacing w:beforeAutospacing="0" w:afterAutospacing="0" w:line="360" w:lineRule="auto"/>
        <w:ind w:firstLine="600"/>
        <w:jc w:val="both"/>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w:t>
      </w:r>
      <w:r>
        <w:rPr>
          <w:rFonts w:hint="eastAsia" w:ascii="宋体" w:hAnsi="宋体" w:eastAsia="宋体" w:cs="宋体"/>
          <w:color w:val="000000"/>
          <w:sz w:val="24"/>
          <w:szCs w:val="24"/>
          <w:highlight w:val="none"/>
        </w:rPr>
        <w:t>效力。中标通知书发出后，采购人改变中标结果的，或者中标人放弃中标项目的，应当依法承担法律责任。</w:t>
      </w:r>
    </w:p>
    <w:p w14:paraId="64DAAC83">
      <w:pPr>
        <w:pStyle w:val="14"/>
        <w:keepNext/>
        <w:keepLines/>
        <w:spacing w:before="145" w:beforeAutospacing="0" w:after="145" w:afterAutospacing="0" w:line="360" w:lineRule="auto"/>
        <w:jc w:val="both"/>
        <w:rPr>
          <w:rFonts w:hint="eastAsia" w:ascii="宋体" w:hAnsi="宋体" w:eastAsia="宋体" w:cs="宋体"/>
          <w:sz w:val="24"/>
          <w:szCs w:val="24"/>
          <w:highlight w:val="none"/>
        </w:rPr>
      </w:pPr>
      <w:bookmarkStart w:id="165" w:name="_Toc16938552"/>
      <w:bookmarkStart w:id="166" w:name="_Toc20823308"/>
      <w:bookmarkStart w:id="167" w:name="_Toc120614220"/>
      <w:bookmarkStart w:id="168" w:name="_Toc513029236"/>
      <w:r>
        <w:rPr>
          <w:rFonts w:hint="eastAsia" w:ascii="宋体" w:hAnsi="宋体" w:eastAsia="宋体" w:cs="宋体"/>
          <w:b/>
          <w:color w:val="000000"/>
          <w:sz w:val="24"/>
          <w:szCs w:val="24"/>
          <w:highlight w:val="none"/>
        </w:rPr>
        <w:t>七、授予合同</w:t>
      </w:r>
      <w:bookmarkEnd w:id="165"/>
      <w:bookmarkEnd w:id="166"/>
      <w:bookmarkEnd w:id="167"/>
      <w:bookmarkEnd w:id="168"/>
    </w:p>
    <w:p w14:paraId="6ACCED81">
      <w:pPr>
        <w:pStyle w:val="14"/>
        <w:keepNext/>
        <w:keepLines/>
        <w:spacing w:beforeAutospacing="0" w:afterAutospacing="0" w:line="360" w:lineRule="auto"/>
        <w:ind w:firstLine="600"/>
        <w:jc w:val="both"/>
        <w:rPr>
          <w:rFonts w:hint="eastAsia" w:ascii="宋体" w:hAnsi="宋体" w:eastAsia="宋体" w:cs="宋体"/>
          <w:sz w:val="24"/>
          <w:szCs w:val="24"/>
          <w:highlight w:val="none"/>
        </w:rPr>
      </w:pPr>
      <w:bookmarkStart w:id="169" w:name="_Toc20823309"/>
      <w:bookmarkStart w:id="170" w:name="_Toc513029237"/>
      <w:bookmarkStart w:id="171" w:name="_Toc16938553"/>
      <w:r>
        <w:rPr>
          <w:rFonts w:hint="eastAsia" w:ascii="宋体" w:hAnsi="宋体" w:eastAsia="宋体" w:cs="宋体"/>
          <w:color w:val="000000"/>
          <w:sz w:val="24"/>
          <w:szCs w:val="24"/>
          <w:highlight w:val="none"/>
        </w:rPr>
        <w:t>30.签订合同</w:t>
      </w:r>
      <w:bookmarkEnd w:id="169"/>
      <w:bookmarkEnd w:id="170"/>
      <w:bookmarkEnd w:id="171"/>
    </w:p>
    <w:p w14:paraId="49272DD0">
      <w:pPr>
        <w:pStyle w:val="14"/>
        <w:spacing w:beforeAutospacing="0" w:afterAutospacing="0" w:line="360" w:lineRule="auto"/>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30.l中标人应当在中标通知书发出之日起三十日内，按照招标文件确定的事项与采购人签订政府采购合同。</w:t>
      </w:r>
    </w:p>
    <w:p w14:paraId="00518D93">
      <w:pPr>
        <w:pStyle w:val="14"/>
        <w:spacing w:beforeAutospacing="0" w:afterAutospacing="0" w:line="360" w:lineRule="auto"/>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30.2招标文件、中标人的投标文件及招标过程中有关澄清、承诺文件均应作为合同附件。</w:t>
      </w:r>
    </w:p>
    <w:p w14:paraId="6C2608F8">
      <w:pPr>
        <w:pStyle w:val="14"/>
        <w:spacing w:beforeAutospacing="0" w:afterAutospacing="0" w:line="360" w:lineRule="auto"/>
        <w:ind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30.3签订合同后，</w:t>
      </w:r>
      <w:r>
        <w:rPr>
          <w:rFonts w:hint="eastAsia" w:ascii="宋体" w:hAnsi="宋体" w:eastAsia="宋体" w:cs="宋体"/>
          <w:i/>
          <w:color w:val="000000"/>
          <w:sz w:val="24"/>
          <w:szCs w:val="24"/>
          <w:highlight w:val="none"/>
          <w:u w:val="single"/>
        </w:rPr>
        <w:t>中标人不得将合同标的进行转包</w:t>
      </w:r>
      <w:r>
        <w:rPr>
          <w:rFonts w:hint="eastAsia" w:ascii="宋体" w:hAnsi="宋体" w:eastAsia="宋体" w:cs="宋体"/>
          <w:color w:val="000000"/>
          <w:sz w:val="24"/>
          <w:szCs w:val="24"/>
          <w:highlight w:val="none"/>
        </w:rPr>
        <w:t>。未经采购人同意，中标人也不得采用分包的形式履行合同，否则采购人有权终止合同。转包或分包造成采购人损失的，中标人应承担相应赔偿责任。</w:t>
      </w:r>
    </w:p>
    <w:p w14:paraId="77BCD65A">
      <w:pPr>
        <w:pStyle w:val="14"/>
        <w:keepNext/>
        <w:keepLines/>
        <w:spacing w:beforeAutospacing="0" w:afterAutospacing="0" w:line="360" w:lineRule="auto"/>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31、服务（包含与服务相关的货物）的追加</w:t>
      </w:r>
    </w:p>
    <w:p w14:paraId="3B7551AE">
      <w:pPr>
        <w:pStyle w:val="14"/>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20EEBF9">
      <w:pPr>
        <w:pStyle w:val="14"/>
        <w:keepNext/>
        <w:keepLines/>
        <w:spacing w:beforeAutospacing="0" w:afterAutospacing="0" w:line="360" w:lineRule="auto"/>
        <w:ind w:firstLine="60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32.政府采购政策功能落实</w:t>
      </w:r>
    </w:p>
    <w:p w14:paraId="3EA2C724">
      <w:pPr>
        <w:pStyle w:val="14"/>
        <w:keepNext/>
        <w:keepLines/>
        <w:spacing w:beforeAutospacing="0" w:afterAutospacing="0" w:line="360" w:lineRule="auto"/>
        <w:ind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32.1</w:t>
      </w:r>
      <w:r>
        <w:rPr>
          <w:rFonts w:hint="eastAsia" w:ascii="宋体" w:hAnsi="宋体" w:eastAsia="宋体" w:cs="宋体"/>
          <w:color w:val="000000"/>
          <w:sz w:val="24"/>
          <w:szCs w:val="24"/>
          <w:highlight w:val="none"/>
        </w:rPr>
        <w:t>政府采购</w:t>
      </w:r>
      <w:r>
        <w:rPr>
          <w:rFonts w:hint="eastAsia" w:ascii="宋体" w:hAnsi="宋体" w:eastAsia="宋体" w:cs="宋体"/>
          <w:color w:val="000000"/>
          <w:sz w:val="24"/>
          <w:szCs w:val="24"/>
          <w:highlight w:val="none"/>
          <w:lang w:eastAsia="zh-CN"/>
        </w:rPr>
        <w:t>线上合同信用融资</w:t>
      </w:r>
      <w:r>
        <w:rPr>
          <w:rFonts w:hint="eastAsia" w:ascii="宋体" w:hAnsi="宋体" w:eastAsia="宋体" w:cs="宋体"/>
          <w:color w:val="000000"/>
          <w:sz w:val="24"/>
          <w:szCs w:val="24"/>
          <w:highlight w:val="none"/>
        </w:rPr>
        <w:t>政策</w:t>
      </w:r>
    </w:p>
    <w:p w14:paraId="7831DEFD">
      <w:pPr>
        <w:pStyle w:val="14"/>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江苏省</w:t>
      </w:r>
      <w:r>
        <w:rPr>
          <w:rFonts w:hint="eastAsia" w:ascii="宋体" w:hAnsi="宋体" w:eastAsia="宋体" w:cs="宋体"/>
          <w:color w:val="000000"/>
          <w:sz w:val="24"/>
          <w:szCs w:val="24"/>
          <w:highlight w:val="none"/>
        </w:rPr>
        <w:t>政府采购网“政采贷”栏目）申请贷款，相关金融机构按照双方自愿的原则提供便捷、优惠的贷款服务；具体操作流程请参考苏采云系统中操作手册。 </w:t>
      </w:r>
    </w:p>
    <w:p w14:paraId="05A8ADEB">
      <w:pPr>
        <w:tabs>
          <w:tab w:val="left" w:pos="1381"/>
        </w:tabs>
        <w:spacing w:line="360" w:lineRule="auto"/>
        <w:ind w:firstLine="48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32.2进口产品</w:t>
      </w:r>
    </w:p>
    <w:p w14:paraId="5E25FDB5">
      <w:pPr>
        <w:pStyle w:val="14"/>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进口产品</w:t>
      </w:r>
      <w:r>
        <w:rPr>
          <w:rFonts w:hint="eastAsia" w:ascii="宋体" w:hAnsi="宋体" w:eastAsia="宋体" w:cs="宋体"/>
          <w:color w:val="000000"/>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tabs>
          <w:tab w:val="left" w:pos="1381"/>
        </w:tabs>
        <w:spacing w:line="360" w:lineRule="auto"/>
        <w:ind w:firstLine="48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32.3中小企业、监狱企业及残疾人福利性单位</w:t>
      </w:r>
    </w:p>
    <w:p w14:paraId="63807B9C">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32.3.1中小企业定义：</w:t>
      </w:r>
    </w:p>
    <w:p w14:paraId="4C9CBD8E">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32.3.2供应商提供的货物、工程或者服务符合下列情形的，享受中小企业扶持政策：</w:t>
      </w:r>
    </w:p>
    <w:p w14:paraId="6761BEF4">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32.3.2.1在货物采购项目中，货物由中小企业制造，即货物由中小企业生产且使用该中小企业商号或者注册商标；</w:t>
      </w:r>
    </w:p>
    <w:p w14:paraId="31163D45">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32.3.2.2在工程采购项目中，工程由中小企业承建，即工程施工单位为中小企业；</w:t>
      </w:r>
    </w:p>
    <w:p w14:paraId="4DFC19BD">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32.3.2.3在服务采购项目中，服务由中小企业承接，即提供服务的人员为中小企业依照《中华人民共和国劳动合同法》订立劳动合同的从业人员。</w:t>
      </w:r>
    </w:p>
    <w:p w14:paraId="3EA95C77">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32.3.3在货物采购项目中，供应商提供的货物既有中小企业制造货物，也有大型企业制造货物的，不享受中小企业扶持政策。</w:t>
      </w:r>
    </w:p>
    <w:p w14:paraId="18C13D1A">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32.3.4以联合体形式参加政府采购活动，联合体各方均为中小企业的，联合体视同中小企业。其中，联合体各方均为小微企业的，联合体视同小微企业。</w:t>
      </w:r>
    </w:p>
    <w:p w14:paraId="34D8F3DF">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32.3.6残疾人福利单位定义：享受政府采购支持政策的残疾人福利性单位应当同时满足以下条件：</w:t>
      </w:r>
    </w:p>
    <w:p w14:paraId="2C10A4F6">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32.3.6.1安置的残疾人占本单位在职职工人数的比例不低于25%（含25%），并且安置的残疾人人数不少于10 人（含10 人）；</w:t>
      </w:r>
    </w:p>
    <w:p w14:paraId="273AB3B5">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32.3.6.2依法与安置的每位残疾人签订了一年以上（含一年）的劳动合同或服务协议；</w:t>
      </w:r>
    </w:p>
    <w:p w14:paraId="25054FF3">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32.3.6.3为安置的每位残疾人按月足额缴纳了基本养老保险、基本医疗保险、失业保险、工伤保险和生育保险等社会保险费；</w:t>
      </w:r>
    </w:p>
    <w:p w14:paraId="2B08B5C5">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32.3.6.4通过银行等金融机构向安置的每位残疾人，按月支付了不低于单位所在区县适用的经省级人民政府批准的月最低工资标准的工资；</w:t>
      </w:r>
    </w:p>
    <w:p w14:paraId="20CB233D">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32.3.6.5提供本单位制造的货物、承担的工程或者服务（以下简称产品），或者提供其他残疾人福利性单位制造的货物（不包括使用非残疾人福利性单位注册商标的货物）；</w:t>
      </w:r>
    </w:p>
    <w:p w14:paraId="3B85C34B">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32.3.7本项目是否专门面向中小企业预留采购份额见第一章《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000000"/>
          <w:sz w:val="24"/>
          <w:szCs w:val="24"/>
          <w:highlight w:val="none"/>
          <w:lang w:val="en-US" w:eastAsia="zh-CN"/>
        </w:rPr>
        <w:t>》。</w:t>
      </w:r>
    </w:p>
    <w:p w14:paraId="66321B5E">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32.3.8采购标的对应的中小企业划分标准所属行业见第四章《采购需求》。</w:t>
      </w:r>
    </w:p>
    <w:p w14:paraId="3CD37815">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32.3.9小微企业价格评审优惠的政策：见第五章《评标方法和评标标准》。</w:t>
      </w:r>
    </w:p>
    <w:p w14:paraId="24130294">
      <w:pPr>
        <w:pStyle w:val="14"/>
        <w:keepNext/>
        <w:keepLines/>
        <w:spacing w:beforeAutospacing="0" w:afterAutospacing="0" w:line="360" w:lineRule="auto"/>
        <w:ind w:firstLine="60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32.4政府采购节能产品、环境标志产品</w:t>
      </w:r>
    </w:p>
    <w:p w14:paraId="56196F77">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644E8D9">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32.5绿色包装</w:t>
      </w:r>
    </w:p>
    <w:p w14:paraId="3C828DB7">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tabs>
          <w:tab w:val="left" w:pos="1381"/>
        </w:tabs>
        <w:spacing w:line="360" w:lineRule="auto"/>
        <w:ind w:firstLine="48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32.6政府采购创新产品</w:t>
      </w:r>
    </w:p>
    <w:p w14:paraId="2D9B3368">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采购人优先采购各级政府部门公开发布的有效期内的创新产品、创新服务、首台套、首购首用等《目录》的创新产品。</w:t>
      </w:r>
    </w:p>
    <w:p w14:paraId="57947BB5">
      <w:pPr>
        <w:tabs>
          <w:tab w:val="left" w:pos="1381"/>
        </w:tabs>
        <w:spacing w:line="360" w:lineRule="auto"/>
        <w:ind w:firstLine="48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32.7绿色数据中心政策 </w:t>
      </w:r>
    </w:p>
    <w:p w14:paraId="722A8D32">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D71E5E5">
      <w:pPr>
        <w:ind w:firstLine="480" w:firstLineChars="200"/>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32.8实施本国产品标准及相关政策</w:t>
      </w:r>
    </w:p>
    <w:p w14:paraId="72D2B18B">
      <w:pPr>
        <w:ind w:firstLine="480" w:firstLineChars="200"/>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1.本项目对采购本国产品给予政策支持，具体内容见招标文件“第五章 评标方法与评标标准”。</w:t>
      </w:r>
    </w:p>
    <w:p w14:paraId="275F4E7C">
      <w:pPr>
        <w:ind w:firstLine="480" w:firstLineChars="200"/>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FE09240">
      <w:pPr>
        <w:ind w:firstLine="480" w:firstLineChars="200"/>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60DD0F">
      <w:pPr>
        <w:numPr>
          <w:ilvl w:val="0"/>
          <w:numId w:val="0"/>
        </w:numPr>
        <w:ind w:firstLine="480" w:firstLineChars="200"/>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034807A4">
      <w:pPr>
        <w:tabs>
          <w:tab w:val="left" w:pos="1381"/>
        </w:tabs>
        <w:spacing w:line="360" w:lineRule="auto"/>
        <w:ind w:firstLine="48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32.9履约保证金政策</w:t>
      </w:r>
    </w:p>
    <w:p w14:paraId="40F02B3A">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确需收取履约保证金的，履约保证金的缴纳形式：</w:t>
      </w:r>
    </w:p>
    <w:p w14:paraId="5EB031AC">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p>
    <w:p w14:paraId="24FC57C4">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p>
    <w:p w14:paraId="57E6C93D">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 预付款制度</w:t>
      </w:r>
    </w:p>
    <w:p w14:paraId="23108FD2">
      <w:pPr>
        <w:pStyle w:val="14"/>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本项目落实预付款制度，预付款比例为</w:t>
      </w:r>
      <w:r>
        <w:rPr>
          <w:rFonts w:hint="eastAsia" w:ascii="宋体" w:hAnsi="宋体" w:eastAsia="宋体" w:cs="宋体"/>
          <w:color w:val="000000"/>
          <w:sz w:val="24"/>
          <w:szCs w:val="24"/>
          <w:highlight w:val="none"/>
          <w:u w:val="single"/>
          <w:lang w:val="en-US" w:eastAsia="zh-CN"/>
        </w:rPr>
        <w:t>30</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auto"/>
          <w:kern w:val="0"/>
          <w:sz w:val="24"/>
          <w:szCs w:val="24"/>
          <w:highlight w:val="none"/>
          <w:shd w:val="clear" w:color="auto" w:fill="auto"/>
          <w:lang w:val="en-US" w:eastAsia="zh-CN" w:bidi="ar-SA"/>
        </w:rPr>
        <w:t>（原则上不低于合同金额的30%）</w:t>
      </w:r>
      <w:r>
        <w:rPr>
          <w:rFonts w:hint="eastAsia" w:ascii="宋体" w:hAnsi="宋体" w:eastAsia="宋体" w:cs="宋体"/>
          <w:color w:val="000000"/>
          <w:sz w:val="24"/>
          <w:szCs w:val="24"/>
          <w:highlight w:val="none"/>
          <w:lang w:val="en-US" w:eastAsia="zh-CN"/>
        </w:rPr>
        <w:t>。在签订合同时，中标、成交供应商明确书面表示无需预付款或者主动要求降低预付款比例的，采购人可就预付款比例作相应调整。</w:t>
      </w:r>
    </w:p>
    <w:p w14:paraId="53289C7D">
      <w:pPr>
        <w:pStyle w:val="14"/>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03163463">
      <w:pPr>
        <w:pStyle w:val="14"/>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C42887D">
      <w:pPr>
        <w:pStyle w:val="14"/>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21FF7A39">
      <w:pPr>
        <w:pStyle w:val="14"/>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73113D99">
      <w:pPr>
        <w:pStyle w:val="14"/>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7D979CA6">
      <w:pPr>
        <w:pStyle w:val="14"/>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2E44C3F7">
      <w:pPr>
        <w:pStyle w:val="14"/>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269F116C">
      <w:pPr>
        <w:pStyle w:val="14"/>
        <w:spacing w:beforeAutospacing="0" w:afterAutospacing="0"/>
        <w:jc w:val="both"/>
        <w:rPr>
          <w:rFonts w:hint="eastAsia" w:ascii="宋体" w:hAnsi="宋体" w:eastAsia="宋体" w:cs="宋体"/>
          <w:sz w:val="24"/>
          <w:szCs w:val="24"/>
          <w:highlight w:val="none"/>
        </w:rPr>
      </w:pPr>
    </w:p>
    <w:p w14:paraId="0FC766CE">
      <w:pPr>
        <w:pStyle w:val="2"/>
        <w:spacing w:line="564" w:lineRule="exact"/>
        <w:rPr>
          <w:rFonts w:hint="eastAsia" w:ascii="宋体" w:hAnsi="宋体" w:eastAsia="宋体" w:cs="宋体"/>
          <w:b/>
          <w:color w:val="000000" w:themeColor="text1"/>
          <w:kern w:val="0"/>
          <w:sz w:val="36"/>
          <w:szCs w:val="36"/>
          <w14:textFill>
            <w14:solidFill>
              <w14:schemeClr w14:val="tx1"/>
            </w14:solidFill>
          </w14:textFill>
        </w:rPr>
        <w:sectPr>
          <w:pgSz w:w="11906" w:h="16838"/>
          <w:pgMar w:top="1440" w:right="1800" w:bottom="1440" w:left="1800" w:header="851" w:footer="992" w:gutter="0"/>
          <w:pgNumType w:fmt="decimal"/>
          <w:cols w:space="425" w:num="1"/>
          <w:docGrid w:type="lines" w:linePitch="312" w:charSpace="0"/>
        </w:sectPr>
      </w:pPr>
      <w:bookmarkStart w:id="172" w:name="_Toc110849552"/>
      <w:bookmarkStart w:id="173" w:name="_Toc479757211"/>
      <w:bookmarkStart w:id="174" w:name="_Toc120614244"/>
      <w:bookmarkStart w:id="175" w:name="_Toc462564139"/>
      <w:bookmarkStart w:id="176" w:name="_Toc20823346"/>
      <w:bookmarkStart w:id="177" w:name="_Hlt16619350"/>
      <w:bookmarkStart w:id="178" w:name="_Toc16938590"/>
      <w:bookmarkStart w:id="179" w:name="_Hlt16619369"/>
    </w:p>
    <w:p w14:paraId="288AD86E">
      <w:pPr>
        <w:pStyle w:val="2"/>
        <w:spacing w:line="564" w:lineRule="exact"/>
        <w:rPr>
          <w:rFonts w:hint="eastAsia" w:ascii="宋体" w:hAnsi="宋体" w:eastAsia="宋体" w:cs="宋体"/>
          <w:b/>
          <w:color w:val="000000" w:themeColor="text1"/>
          <w:kern w:val="0"/>
          <w:sz w:val="36"/>
          <w:szCs w:val="36"/>
          <w14:textFill>
            <w14:solidFill>
              <w14:schemeClr w14:val="tx1"/>
            </w14:solidFill>
          </w14:textFill>
        </w:rPr>
      </w:pPr>
      <w:r>
        <w:rPr>
          <w:rFonts w:hint="eastAsia" w:ascii="宋体" w:hAnsi="宋体" w:eastAsia="宋体" w:cs="宋体"/>
          <w:b/>
          <w:color w:val="000000" w:themeColor="text1"/>
          <w:kern w:val="0"/>
          <w:sz w:val="36"/>
          <w:szCs w:val="36"/>
          <w14:textFill>
            <w14:solidFill>
              <w14:schemeClr w14:val="tx1"/>
            </w14:solidFill>
          </w14:textFill>
        </w:rPr>
        <w:t>第三章  合同条款及格式</w:t>
      </w:r>
      <w:bookmarkEnd w:id="172"/>
    </w:p>
    <w:p w14:paraId="0C9B418E">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bookmarkStart w:id="180" w:name="_Toc513029243"/>
      <w:bookmarkStart w:id="181" w:name="_Toc16938559"/>
      <w:bookmarkStart w:id="182" w:name="_Toc20823315"/>
      <w:r>
        <w:rPr>
          <w:rFonts w:hint="eastAsia" w:ascii="宋体" w:hAnsi="宋体" w:eastAsia="宋体" w:cs="宋体"/>
          <w:color w:val="000000" w:themeColor="text1"/>
          <w:sz w:val="24"/>
          <w:szCs w:val="24"/>
          <w14:textFill>
            <w14:solidFill>
              <w14:schemeClr w14:val="tx1"/>
            </w14:solidFill>
          </w14:textFill>
        </w:rPr>
        <w:t>以下为中标后签定本项目合同的通用条款，中标人不得提出实质性的修改，关于专用条款将由采购人与中标人结合本项目具体情况协商后签订。</w:t>
      </w:r>
    </w:p>
    <w:bookmarkEnd w:id="180"/>
    <w:bookmarkEnd w:id="181"/>
    <w:bookmarkEnd w:id="182"/>
    <w:p w14:paraId="09202514">
      <w:pPr>
        <w:snapToGrid w:val="0"/>
        <w:spacing w:beforeLines="50" w:afterLines="50" w:line="560" w:lineRule="exact"/>
        <w:jc w:val="center"/>
        <w:outlineLvl w:val="0"/>
        <w:rPr>
          <w:rFonts w:hint="eastAsia" w:ascii="宋体" w:hAnsi="宋体" w:eastAsia="宋体" w:cs="宋体"/>
          <w:b/>
          <w:bCs/>
          <w:sz w:val="30"/>
          <w:szCs w:val="20"/>
        </w:rPr>
      </w:pPr>
      <w:r>
        <w:rPr>
          <w:rFonts w:hint="eastAsia" w:ascii="宋体" w:hAnsi="宋体" w:eastAsia="宋体" w:cs="宋体"/>
          <w:b/>
          <w:sz w:val="30"/>
        </w:rPr>
        <w:t>政府采购合同</w:t>
      </w:r>
    </w:p>
    <w:p w14:paraId="25A04A4A">
      <w:pPr>
        <w:spacing w:line="50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项目名称： 项目编号：</w:t>
      </w:r>
    </w:p>
    <w:tbl>
      <w:tblPr>
        <w:tblStyle w:val="1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6"/>
        <w:gridCol w:w="6396"/>
      </w:tblGrid>
      <w:tr w14:paraId="4C5AB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76" w:type="dxa"/>
            <w:tcBorders>
              <w:top w:val="nil"/>
              <w:left w:val="nil"/>
              <w:bottom w:val="nil"/>
              <w:right w:val="nil"/>
            </w:tcBorders>
            <w:vAlign w:val="bottom"/>
          </w:tcPr>
          <w:p w14:paraId="0371A0D6">
            <w:pPr>
              <w:autoSpaceDE w:val="0"/>
              <w:autoSpaceDN w:val="0"/>
              <w:adjustRightInd w:val="0"/>
              <w:snapToGrid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甲方：(买方)</w:t>
            </w:r>
          </w:p>
        </w:tc>
        <w:tc>
          <w:tcPr>
            <w:tcW w:w="7478" w:type="dxa"/>
            <w:tcBorders>
              <w:top w:val="nil"/>
              <w:left w:val="nil"/>
              <w:right w:val="nil"/>
            </w:tcBorders>
          </w:tcPr>
          <w:p w14:paraId="7F46A9CF">
            <w:pPr>
              <w:autoSpaceDE w:val="0"/>
              <w:autoSpaceDN w:val="0"/>
              <w:adjustRightInd w:val="0"/>
              <w:snapToGrid w:val="0"/>
              <w:rPr>
                <w:rFonts w:hint="eastAsia" w:ascii="宋体" w:hAnsi="宋体" w:eastAsia="宋体" w:cs="宋体"/>
                <w:color w:val="000000" w:themeColor="text1"/>
                <w:sz w:val="24"/>
                <w:szCs w:val="24"/>
                <w14:textFill>
                  <w14:solidFill>
                    <w14:schemeClr w14:val="tx1"/>
                  </w14:solidFill>
                </w14:textFill>
              </w:rPr>
            </w:pPr>
          </w:p>
        </w:tc>
      </w:tr>
      <w:tr w14:paraId="66D6D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76" w:type="dxa"/>
            <w:tcBorders>
              <w:top w:val="nil"/>
              <w:left w:val="nil"/>
              <w:bottom w:val="nil"/>
              <w:right w:val="nil"/>
            </w:tcBorders>
            <w:vAlign w:val="bottom"/>
          </w:tcPr>
          <w:p w14:paraId="397EC807">
            <w:pPr>
              <w:autoSpaceDE w:val="0"/>
              <w:autoSpaceDN w:val="0"/>
              <w:adjustRightInd w:val="0"/>
              <w:snapToGrid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乙方：(卖方)</w:t>
            </w:r>
          </w:p>
        </w:tc>
        <w:tc>
          <w:tcPr>
            <w:tcW w:w="7478" w:type="dxa"/>
            <w:tcBorders>
              <w:left w:val="nil"/>
              <w:right w:val="nil"/>
            </w:tcBorders>
          </w:tcPr>
          <w:p w14:paraId="5DFBA08A">
            <w:pPr>
              <w:autoSpaceDE w:val="0"/>
              <w:autoSpaceDN w:val="0"/>
              <w:adjustRightInd w:val="0"/>
              <w:snapToGrid w:val="0"/>
              <w:rPr>
                <w:rFonts w:hint="eastAsia" w:ascii="宋体" w:hAnsi="宋体" w:eastAsia="宋体" w:cs="宋体"/>
                <w:color w:val="000000" w:themeColor="text1"/>
                <w:sz w:val="24"/>
                <w:szCs w:val="24"/>
                <w14:textFill>
                  <w14:solidFill>
                    <w14:schemeClr w14:val="tx1"/>
                  </w14:solidFill>
                </w14:textFill>
              </w:rPr>
            </w:pPr>
          </w:p>
        </w:tc>
      </w:tr>
    </w:tbl>
    <w:p w14:paraId="3D434028">
      <w:pPr>
        <w:autoSpaceDE w:val="0"/>
        <w:autoSpaceDN w:val="0"/>
        <w:adjustRightInd w:val="0"/>
        <w:snapToGrid w:val="0"/>
        <w:spacing w:line="288" w:lineRule="auto"/>
        <w:ind w:firstLine="480" w:firstLineChars="200"/>
        <w:rPr>
          <w:rFonts w:hint="eastAsia" w:ascii="宋体" w:hAnsi="宋体" w:eastAsia="宋体" w:cs="宋体"/>
          <w:color w:val="000000" w:themeColor="text1"/>
          <w:sz w:val="24"/>
          <w:szCs w:val="24"/>
          <w14:textFill>
            <w14:solidFill>
              <w14:schemeClr w14:val="tx1"/>
            </w14:solidFill>
          </w14:textFill>
        </w:rPr>
      </w:pPr>
    </w:p>
    <w:p w14:paraId="698AD6C6">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w:t>
      </w:r>
      <w:r>
        <w:rPr>
          <w:rFonts w:hint="eastAsia" w:ascii="宋体" w:hAnsi="宋体" w:eastAsia="宋体" w:cs="宋体"/>
          <w:color w:val="000000" w:themeColor="text1"/>
          <w:sz w:val="24"/>
          <w:szCs w:val="24"/>
          <w:highlight w:val="none"/>
          <w14:textFill>
            <w14:solidFill>
              <w14:schemeClr w14:val="tx1"/>
            </w14:solidFill>
          </w14:textFill>
        </w:rPr>
        <w:t>、乙双方根据</w:t>
      </w:r>
      <w:r>
        <w:rPr>
          <w:rFonts w:hint="eastAsia" w:ascii="宋体" w:hAnsi="宋体" w:eastAsia="宋体" w:cs="宋体"/>
          <w:color w:val="000000" w:themeColor="text1"/>
          <w:sz w:val="24"/>
          <w:szCs w:val="24"/>
          <w:highlight w:val="none"/>
          <w:lang w:eastAsia="zh-CN"/>
          <w14:textFill>
            <w14:solidFill>
              <w14:schemeClr w14:val="tx1"/>
            </w14:solidFill>
          </w14:textFill>
        </w:rPr>
        <w:t>2026-2028年盐南市容秩序管理外包服务项目（南海未来城、高铁站等重点标段）</w:t>
      </w:r>
      <w:r>
        <w:rPr>
          <w:rFonts w:hint="eastAsia" w:ascii="宋体" w:hAnsi="宋体" w:eastAsia="宋体" w:cs="宋体"/>
          <w:color w:val="000000" w:themeColor="text1"/>
          <w:sz w:val="24"/>
          <w:szCs w:val="24"/>
          <w14:textFill>
            <w14:solidFill>
              <w14:schemeClr w14:val="tx1"/>
            </w14:solidFill>
          </w14:textFill>
        </w:rPr>
        <w:t>公开招标的结果，签署本合同。</w:t>
      </w:r>
    </w:p>
    <w:p w14:paraId="09321507">
      <w:pPr>
        <w:keepNext w:val="0"/>
        <w:keepLines w:val="0"/>
        <w:pageBreakBefore w:val="0"/>
        <w:widowControl w:val="0"/>
        <w:kinsoku/>
        <w:wordWrap/>
        <w:overflowPunct/>
        <w:topLinePunct w:val="0"/>
        <w:autoSpaceDE w:val="0"/>
        <w:autoSpaceDN w:val="0"/>
        <w:bidi w:val="0"/>
        <w:adjustRightInd w:val="0"/>
        <w:snapToGrid w:val="0"/>
        <w:spacing w:line="336" w:lineRule="auto"/>
        <w:ind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一、 项目概况：</w:t>
      </w:r>
    </w:p>
    <w:p w14:paraId="52DE7624">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1.1项目名称：</w:t>
      </w:r>
      <w:r>
        <w:rPr>
          <w:rFonts w:hint="eastAsia" w:ascii="宋体" w:hAnsi="宋体" w:eastAsia="宋体" w:cs="宋体"/>
          <w:color w:val="000000" w:themeColor="text1"/>
          <w:sz w:val="24"/>
          <w:szCs w:val="24"/>
          <w:highlight w:val="none"/>
          <w:lang w:eastAsia="zh-CN"/>
          <w14:textFill>
            <w14:solidFill>
              <w14:schemeClr w14:val="tx1"/>
            </w14:solidFill>
          </w14:textFill>
        </w:rPr>
        <w:t>2026-2028年盐南市容秩序管理外包服务项目（南海未来城、高铁站等重点标段）</w:t>
      </w:r>
    </w:p>
    <w:p w14:paraId="0504FD61">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1.2项目地点：盐南高新区境内。</w:t>
      </w:r>
    </w:p>
    <w:p w14:paraId="4E709966">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1.3服务时间：</w:t>
      </w:r>
      <w:r>
        <w:rPr>
          <w:rFonts w:hint="eastAsia" w:ascii="宋体" w:hAnsi="宋体" w:eastAsia="宋体" w:cs="宋体"/>
          <w:color w:val="000000"/>
          <w:kern w:val="0"/>
          <w:sz w:val="24"/>
          <w:szCs w:val="24"/>
          <w:highlight w:val="none"/>
          <w:lang w:val="en-US" w:eastAsia="zh-CN" w:bidi="ar-SA"/>
        </w:rPr>
        <w:t>本项目服务期24个月，从2026年4月至2028年4月，合同一年一签，每年服务合同期满</w:t>
      </w:r>
      <w:r>
        <w:rPr>
          <w:rFonts w:hint="eastAsia" w:ascii="宋体" w:hAnsi="宋体" w:eastAsia="宋体" w:cs="宋体"/>
          <w:color w:val="000000" w:themeColor="text1"/>
          <w:sz w:val="24"/>
          <w:szCs w:val="24"/>
          <w14:textFill>
            <w14:solidFill>
              <w14:schemeClr w14:val="tx1"/>
            </w14:solidFill>
          </w14:textFill>
        </w:rPr>
        <w:t>后并经采购人考核合格可续签本合同</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续签一次</w:t>
      </w:r>
      <w:r>
        <w:rPr>
          <w:rFonts w:hint="eastAsia" w:ascii="宋体" w:hAnsi="宋体" w:eastAsia="宋体" w:cs="宋体"/>
          <w:color w:val="000000" w:themeColor="text1"/>
          <w:sz w:val="24"/>
          <w:szCs w:val="24"/>
          <w14:textFill>
            <w14:solidFill>
              <w14:schemeClr w14:val="tx1"/>
            </w14:solidFill>
          </w14:textFill>
        </w:rPr>
        <w:t>；如经采购人考核不合格，采购人有权终止合同，重新组织招标。如因盐南高新技术产业开发区政府的城市管理工作管辖权的调整，采购人可无条件终止合同。注:服务期限内，经采购人考核服务质量达不到采购人要求</w:t>
      </w:r>
      <w:r>
        <w:rPr>
          <w:rFonts w:hint="eastAsia" w:ascii="宋体" w:hAnsi="宋体" w:eastAsia="宋体" w:cs="宋体"/>
          <w:color w:val="000000" w:themeColor="text1"/>
          <w:sz w:val="24"/>
          <w:szCs w:val="24"/>
          <w:lang w:eastAsia="zh-CN"/>
          <w14:textFill>
            <w14:solidFill>
              <w14:schemeClr w14:val="tx1"/>
            </w14:solidFill>
          </w14:textFill>
        </w:rPr>
        <w:t>或</w:t>
      </w:r>
      <w:r>
        <w:rPr>
          <w:rFonts w:hint="eastAsia" w:ascii="宋体" w:hAnsi="宋体" w:eastAsia="宋体" w:cs="宋体"/>
          <w:color w:val="000000" w:themeColor="text1"/>
          <w:sz w:val="24"/>
          <w:szCs w:val="24"/>
          <w14:textFill>
            <w14:solidFill>
              <w14:schemeClr w14:val="tx1"/>
            </w14:solidFill>
          </w14:textFill>
        </w:rPr>
        <w:t>不服从采购人安排的，采购人有权终止合同)。</w:t>
      </w:r>
    </w:p>
    <w:p w14:paraId="719096E4">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1.4管理范围、人员配置及工作时间：</w:t>
      </w:r>
    </w:p>
    <w:p w14:paraId="0B296A75">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w:t>
      </w:r>
      <w:r>
        <w:rPr>
          <w:rFonts w:hint="eastAsia" w:ascii="宋体" w:hAnsi="宋体" w:eastAsia="宋体" w:cs="宋体"/>
          <w:color w:val="000000" w:themeColor="text1"/>
          <w:sz w:val="24"/>
          <w:szCs w:val="24"/>
          <w:highlight w:val="none"/>
          <w14:textFill>
            <w14:solidFill>
              <w14:schemeClr w14:val="tx1"/>
            </w14:solidFill>
          </w14:textFill>
        </w:rPr>
        <w:t>)管理范围：</w:t>
      </w:r>
      <w:r>
        <w:rPr>
          <w:rFonts w:hint="eastAsia" w:ascii="宋体" w:hAnsi="宋体" w:eastAsia="宋体" w:cs="宋体"/>
          <w:color w:val="000000" w:themeColor="text1"/>
          <w:sz w:val="24"/>
          <w:szCs w:val="24"/>
          <w:highlight w:val="none"/>
          <w:lang w:eastAsia="zh-CN"/>
          <w14:textFill>
            <w14:solidFill>
              <w14:schemeClr w14:val="tx1"/>
            </w14:solidFill>
          </w14:textFill>
        </w:rPr>
        <w:t>2026-2028年盐南市容秩序管理外包服务项目（南海未来城、高铁站等重点标段）</w:t>
      </w:r>
      <w:r>
        <w:rPr>
          <w:rStyle w:val="34"/>
          <w:rFonts w:hint="eastAsia" w:ascii="宋体" w:hAnsi="宋体" w:eastAsia="宋体" w:cs="宋体"/>
          <w:bCs/>
          <w:color w:val="auto"/>
          <w:sz w:val="24"/>
          <w:szCs w:val="24"/>
          <w:highlight w:val="none"/>
        </w:rPr>
        <w:t>具体要求详见项目需求</w:t>
      </w:r>
      <w:r>
        <w:rPr>
          <w:rFonts w:hint="eastAsia" w:ascii="宋体" w:hAnsi="宋体" w:eastAsia="宋体" w:cs="宋体"/>
          <w:color w:val="000000" w:themeColor="text1"/>
          <w:sz w:val="24"/>
          <w:szCs w:val="24"/>
          <w:highlight w:val="none"/>
          <w14:textFill>
            <w14:solidFill>
              <w14:schemeClr w14:val="tx1"/>
            </w14:solidFill>
          </w14:textFill>
        </w:rPr>
        <w:t>。</w:t>
      </w:r>
    </w:p>
    <w:p w14:paraId="21AF714D">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(二)人员配备要求：</w:t>
      </w:r>
    </w:p>
    <w:tbl>
      <w:tblPr>
        <w:tblStyle w:val="16"/>
        <w:tblW w:w="5000" w:type="pct"/>
        <w:jc w:val="center"/>
        <w:tblLayout w:type="fixed"/>
        <w:tblCellMar>
          <w:top w:w="0" w:type="dxa"/>
          <w:left w:w="108" w:type="dxa"/>
          <w:bottom w:w="0" w:type="dxa"/>
          <w:right w:w="108" w:type="dxa"/>
        </w:tblCellMar>
      </w:tblPr>
      <w:tblGrid>
        <w:gridCol w:w="1145"/>
        <w:gridCol w:w="911"/>
        <w:gridCol w:w="735"/>
        <w:gridCol w:w="4781"/>
        <w:gridCol w:w="950"/>
      </w:tblGrid>
      <w:tr w14:paraId="16385907">
        <w:tblPrEx>
          <w:tblCellMar>
            <w:top w:w="0" w:type="dxa"/>
            <w:left w:w="108" w:type="dxa"/>
            <w:bottom w:w="0" w:type="dxa"/>
            <w:right w:w="108" w:type="dxa"/>
          </w:tblCellMar>
        </w:tblPrEx>
        <w:trPr>
          <w:trHeight w:val="522" w:hRule="atLeast"/>
          <w:jc w:val="center"/>
        </w:trPr>
        <w:tc>
          <w:tcPr>
            <w:tcW w:w="11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85DC2">
            <w:pPr>
              <w:widowControl/>
              <w:snapToGrid w:val="0"/>
              <w:jc w:val="center"/>
              <w:textAlignment w:val="center"/>
              <w:rPr>
                <w:rFonts w:hint="eastAsia" w:ascii="宋体" w:hAnsi="宋体" w:eastAsia="宋体" w:cs="宋体"/>
                <w:b/>
                <w:bCs/>
                <w:color w:val="auto"/>
                <w:sz w:val="22"/>
                <w:szCs w:val="22"/>
                <w:highlight w:val="none"/>
              </w:rPr>
            </w:pPr>
            <w:r>
              <w:rPr>
                <w:rFonts w:hint="eastAsia" w:ascii="宋体" w:hAnsi="宋体" w:eastAsia="宋体" w:cs="宋体"/>
                <w:b/>
                <w:bCs/>
                <w:color w:val="auto"/>
                <w:kern w:val="0"/>
                <w:sz w:val="24"/>
                <w:szCs w:val="24"/>
                <w:highlight w:val="none"/>
              </w:rPr>
              <w:t>人员配置</w:t>
            </w: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39283">
            <w:pPr>
              <w:widowControl/>
              <w:snapToGrid w:val="0"/>
              <w:jc w:val="center"/>
              <w:textAlignment w:val="center"/>
              <w:rPr>
                <w:rFonts w:hint="eastAsia" w:ascii="宋体" w:hAnsi="宋体" w:eastAsia="宋体" w:cs="宋体"/>
                <w:b/>
                <w:bCs/>
                <w:color w:val="auto"/>
                <w:sz w:val="22"/>
                <w:szCs w:val="22"/>
                <w:highlight w:val="none"/>
              </w:rPr>
            </w:pPr>
            <w:r>
              <w:rPr>
                <w:rFonts w:hint="eastAsia" w:ascii="宋体" w:hAnsi="宋体" w:eastAsia="宋体" w:cs="宋体"/>
                <w:b/>
                <w:bCs/>
                <w:color w:val="auto"/>
                <w:kern w:val="0"/>
                <w:sz w:val="24"/>
                <w:szCs w:val="24"/>
                <w:highlight w:val="none"/>
              </w:rPr>
              <w:t>设置人数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23E0C">
            <w:pPr>
              <w:widowControl/>
              <w:snapToGrid w:val="0"/>
              <w:jc w:val="center"/>
              <w:textAlignment w:val="center"/>
              <w:rPr>
                <w:rFonts w:hint="eastAsia" w:ascii="宋体" w:hAnsi="宋体" w:eastAsia="宋体" w:cs="宋体"/>
                <w:b/>
                <w:bCs/>
                <w:color w:val="auto"/>
                <w:sz w:val="22"/>
                <w:szCs w:val="22"/>
                <w:highlight w:val="none"/>
              </w:rPr>
            </w:pPr>
            <w:r>
              <w:rPr>
                <w:rFonts w:hint="eastAsia" w:ascii="宋体" w:hAnsi="宋体" w:eastAsia="宋体" w:cs="宋体"/>
                <w:b/>
                <w:bCs/>
                <w:color w:val="auto"/>
                <w:kern w:val="0"/>
                <w:sz w:val="24"/>
                <w:szCs w:val="24"/>
                <w:highlight w:val="none"/>
              </w:rPr>
              <w:t>性别</w:t>
            </w:r>
          </w:p>
        </w:tc>
        <w:tc>
          <w:tcPr>
            <w:tcW w:w="4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79B03">
            <w:pPr>
              <w:widowControl/>
              <w:snapToGrid w:val="0"/>
              <w:jc w:val="center"/>
              <w:textAlignment w:val="center"/>
              <w:rPr>
                <w:rFonts w:hint="eastAsia" w:ascii="宋体" w:hAnsi="宋体" w:eastAsia="宋体" w:cs="宋体"/>
                <w:b/>
                <w:bCs/>
                <w:color w:val="auto"/>
                <w:sz w:val="22"/>
                <w:szCs w:val="22"/>
                <w:highlight w:val="none"/>
              </w:rPr>
            </w:pPr>
            <w:r>
              <w:rPr>
                <w:rFonts w:hint="eastAsia" w:ascii="宋体" w:hAnsi="宋体" w:eastAsia="宋体" w:cs="宋体"/>
                <w:b/>
                <w:bCs/>
                <w:color w:val="auto"/>
                <w:kern w:val="0"/>
                <w:sz w:val="24"/>
                <w:szCs w:val="24"/>
                <w:highlight w:val="none"/>
              </w:rPr>
              <w:t>要求</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A65A1">
            <w:pPr>
              <w:widowControl/>
              <w:snapToGrid w:val="0"/>
              <w:jc w:val="center"/>
              <w:textAlignment w:val="center"/>
              <w:rPr>
                <w:rFonts w:hint="eastAsia" w:ascii="宋体" w:hAnsi="宋体" w:eastAsia="宋体" w:cs="宋体"/>
                <w:b/>
                <w:bCs/>
                <w:color w:val="auto"/>
                <w:sz w:val="22"/>
                <w:szCs w:val="22"/>
                <w:highlight w:val="none"/>
              </w:rPr>
            </w:pPr>
            <w:r>
              <w:rPr>
                <w:rFonts w:hint="eastAsia" w:ascii="宋体" w:hAnsi="宋体" w:eastAsia="宋体" w:cs="宋体"/>
                <w:b/>
                <w:bCs/>
                <w:color w:val="auto"/>
                <w:kern w:val="0"/>
                <w:sz w:val="24"/>
                <w:szCs w:val="24"/>
                <w:highlight w:val="none"/>
              </w:rPr>
              <w:t>备注</w:t>
            </w:r>
          </w:p>
        </w:tc>
      </w:tr>
      <w:tr w14:paraId="0D37D808">
        <w:tblPrEx>
          <w:tblCellMar>
            <w:top w:w="0" w:type="dxa"/>
            <w:left w:w="108" w:type="dxa"/>
            <w:bottom w:w="0" w:type="dxa"/>
            <w:right w:w="108" w:type="dxa"/>
          </w:tblCellMar>
        </w:tblPrEx>
        <w:trPr>
          <w:trHeight w:val="567" w:hRule="atLeast"/>
          <w:jc w:val="center"/>
        </w:trPr>
        <w:tc>
          <w:tcPr>
            <w:tcW w:w="11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FA92A">
            <w:pPr>
              <w:widowControl/>
              <w:snapToGri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2"/>
                <w:szCs w:val="22"/>
                <w:highlight w:val="none"/>
              </w:rPr>
              <w:t>项目经理</w:t>
            </w: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0E479">
            <w:pPr>
              <w:widowControl/>
              <w:snapToGri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2"/>
                <w:szCs w:val="22"/>
                <w:highlight w:val="none"/>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C151F">
            <w:pPr>
              <w:widowControl/>
              <w:snapToGri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2"/>
                <w:szCs w:val="22"/>
                <w:highlight w:val="none"/>
              </w:rPr>
              <w:t>男</w:t>
            </w:r>
          </w:p>
        </w:tc>
        <w:tc>
          <w:tcPr>
            <w:tcW w:w="4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24D5E">
            <w:pPr>
              <w:widowControl/>
              <w:snapToGrid w:val="0"/>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2"/>
                <w:szCs w:val="22"/>
                <w:highlight w:val="none"/>
              </w:rPr>
              <w:t>具有大专以上学历，熟悉政府相关法律以及管理条例，负责市容环境管理服务的各项工作。项目经理要求年龄在30-55周岁，具有3年以上市容环境管理服务的工作经验，签订合同前需提供相关证明材料。</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713A8">
            <w:pPr>
              <w:snapToGrid w:val="0"/>
              <w:jc w:val="center"/>
              <w:rPr>
                <w:rFonts w:hint="eastAsia" w:ascii="宋体" w:hAnsi="宋体" w:eastAsia="宋体" w:cs="宋体"/>
                <w:color w:val="auto"/>
                <w:sz w:val="21"/>
                <w:szCs w:val="21"/>
                <w:highlight w:val="none"/>
              </w:rPr>
            </w:pPr>
          </w:p>
        </w:tc>
      </w:tr>
      <w:tr w14:paraId="214301F9">
        <w:tblPrEx>
          <w:tblCellMar>
            <w:top w:w="0" w:type="dxa"/>
            <w:left w:w="108" w:type="dxa"/>
            <w:bottom w:w="0" w:type="dxa"/>
            <w:right w:w="108" w:type="dxa"/>
          </w:tblCellMar>
        </w:tblPrEx>
        <w:trPr>
          <w:trHeight w:val="567" w:hRule="atLeast"/>
          <w:jc w:val="center"/>
        </w:trPr>
        <w:tc>
          <w:tcPr>
            <w:tcW w:w="11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50940">
            <w:pPr>
              <w:widowControl/>
              <w:snapToGri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2"/>
                <w:szCs w:val="22"/>
                <w:highlight w:val="none"/>
              </w:rPr>
              <w:t>司机</w:t>
            </w: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69394">
            <w:pPr>
              <w:widowControl/>
              <w:snapToGri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2"/>
                <w:szCs w:val="22"/>
                <w:highlight w:val="none"/>
              </w:rPr>
              <w:t>2</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05E28">
            <w:pPr>
              <w:widowControl/>
              <w:snapToGri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2"/>
                <w:szCs w:val="22"/>
                <w:highlight w:val="none"/>
              </w:rPr>
              <w:t>男</w:t>
            </w:r>
          </w:p>
        </w:tc>
        <w:tc>
          <w:tcPr>
            <w:tcW w:w="4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E07D8">
            <w:pPr>
              <w:widowControl/>
              <w:snapToGrid w:val="0"/>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2"/>
                <w:szCs w:val="22"/>
                <w:highlight w:val="none"/>
              </w:rPr>
              <w:t>男性年龄要求在</w:t>
            </w:r>
            <w:r>
              <w:rPr>
                <w:rFonts w:hint="eastAsia" w:ascii="宋体" w:hAnsi="宋体" w:eastAsia="宋体" w:cs="宋体"/>
                <w:color w:val="auto"/>
                <w:kern w:val="0"/>
                <w:sz w:val="22"/>
                <w:szCs w:val="22"/>
                <w:highlight w:val="none"/>
                <w:lang w:eastAsia="zh-CN"/>
              </w:rPr>
              <w:t>法律规定退休年龄前有劳动能力者</w:t>
            </w:r>
            <w:r>
              <w:rPr>
                <w:rFonts w:hint="eastAsia" w:ascii="宋体" w:hAnsi="宋体" w:eastAsia="宋体" w:cs="宋体"/>
                <w:color w:val="auto"/>
                <w:kern w:val="0"/>
                <w:sz w:val="22"/>
                <w:szCs w:val="22"/>
                <w:highlight w:val="none"/>
              </w:rPr>
              <w:t>，身体健康、品行良好、责任心强、无违法纪录，持证上岗，有5年以上相关工作经验。</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A2A7B">
            <w:pPr>
              <w:snapToGrid w:val="0"/>
              <w:jc w:val="center"/>
              <w:rPr>
                <w:rFonts w:hint="eastAsia" w:ascii="宋体" w:hAnsi="宋体" w:eastAsia="宋体" w:cs="宋体"/>
                <w:color w:val="auto"/>
                <w:sz w:val="21"/>
                <w:szCs w:val="21"/>
                <w:highlight w:val="none"/>
              </w:rPr>
            </w:pPr>
          </w:p>
        </w:tc>
      </w:tr>
      <w:tr w14:paraId="7C8309C3">
        <w:tblPrEx>
          <w:tblCellMar>
            <w:top w:w="0" w:type="dxa"/>
            <w:left w:w="108" w:type="dxa"/>
            <w:bottom w:w="0" w:type="dxa"/>
            <w:right w:w="108" w:type="dxa"/>
          </w:tblCellMar>
        </w:tblPrEx>
        <w:trPr>
          <w:trHeight w:val="567" w:hRule="atLeast"/>
          <w:jc w:val="center"/>
        </w:trPr>
        <w:tc>
          <w:tcPr>
            <w:tcW w:w="11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93A9B">
            <w:pPr>
              <w:widowControl/>
              <w:snapToGri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2"/>
                <w:szCs w:val="22"/>
                <w:highlight w:val="none"/>
              </w:rPr>
              <w:t>路段长</w:t>
            </w: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806F6">
            <w:pPr>
              <w:widowControl/>
              <w:snapToGri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2"/>
                <w:szCs w:val="22"/>
                <w:highlight w:val="none"/>
              </w:rPr>
              <w:t>2</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F367F">
            <w:pPr>
              <w:widowControl/>
              <w:snapToGri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2"/>
                <w:szCs w:val="22"/>
                <w:highlight w:val="none"/>
              </w:rPr>
              <w:t>男</w:t>
            </w:r>
          </w:p>
        </w:tc>
        <w:tc>
          <w:tcPr>
            <w:tcW w:w="4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FB73A">
            <w:pPr>
              <w:widowControl/>
              <w:snapToGrid w:val="0"/>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2"/>
                <w:szCs w:val="22"/>
                <w:highlight w:val="none"/>
              </w:rPr>
              <w:t>男性年龄要求在</w:t>
            </w:r>
            <w:r>
              <w:rPr>
                <w:rFonts w:hint="eastAsia" w:ascii="宋体" w:hAnsi="宋体" w:eastAsia="宋体" w:cs="宋体"/>
                <w:color w:val="auto"/>
                <w:kern w:val="0"/>
                <w:sz w:val="22"/>
                <w:szCs w:val="22"/>
                <w:highlight w:val="none"/>
                <w:lang w:eastAsia="zh-CN"/>
              </w:rPr>
              <w:t>法律规定退休年龄前有劳动能力者</w:t>
            </w:r>
            <w:r>
              <w:rPr>
                <w:rFonts w:hint="eastAsia" w:ascii="宋体" w:hAnsi="宋体" w:eastAsia="宋体" w:cs="宋体"/>
                <w:color w:val="auto"/>
                <w:kern w:val="0"/>
                <w:sz w:val="22"/>
                <w:szCs w:val="22"/>
                <w:highlight w:val="none"/>
              </w:rPr>
              <w:t>，身体健康、品行良好、责任心强、无违法纪录，高中以上学历。</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EDA3D">
            <w:pPr>
              <w:snapToGrid w:val="0"/>
              <w:jc w:val="center"/>
              <w:rPr>
                <w:rFonts w:hint="eastAsia" w:ascii="宋体" w:hAnsi="宋体" w:eastAsia="宋体" w:cs="宋体"/>
                <w:color w:val="auto"/>
                <w:sz w:val="21"/>
                <w:szCs w:val="21"/>
                <w:highlight w:val="none"/>
              </w:rPr>
            </w:pPr>
          </w:p>
        </w:tc>
      </w:tr>
      <w:tr w14:paraId="7392FD08">
        <w:tblPrEx>
          <w:tblCellMar>
            <w:top w:w="0" w:type="dxa"/>
            <w:left w:w="108" w:type="dxa"/>
            <w:bottom w:w="0" w:type="dxa"/>
            <w:right w:w="108" w:type="dxa"/>
          </w:tblCellMar>
        </w:tblPrEx>
        <w:trPr>
          <w:trHeight w:val="567" w:hRule="atLeast"/>
          <w:jc w:val="center"/>
        </w:trPr>
        <w:tc>
          <w:tcPr>
            <w:tcW w:w="114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CC322">
            <w:pPr>
              <w:widowControl/>
              <w:snapToGri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2"/>
                <w:szCs w:val="22"/>
                <w:highlight w:val="none"/>
              </w:rPr>
              <w:t>队员</w:t>
            </w: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CEF44">
            <w:pPr>
              <w:widowControl/>
              <w:snapToGrid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kern w:val="0"/>
                <w:sz w:val="22"/>
                <w:szCs w:val="22"/>
                <w:highlight w:val="none"/>
                <w:lang w:val="en-US" w:eastAsia="zh-CN"/>
              </w:rPr>
              <w:t>20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D2869">
            <w:pPr>
              <w:widowControl/>
              <w:snapToGri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2"/>
                <w:szCs w:val="22"/>
                <w:highlight w:val="none"/>
              </w:rPr>
              <w:t>男</w:t>
            </w:r>
          </w:p>
        </w:tc>
        <w:tc>
          <w:tcPr>
            <w:tcW w:w="4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76933">
            <w:pPr>
              <w:widowControl/>
              <w:snapToGrid w:val="0"/>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2"/>
                <w:szCs w:val="22"/>
                <w:highlight w:val="none"/>
              </w:rPr>
              <w:t>男性年龄要求在</w:t>
            </w:r>
            <w:r>
              <w:rPr>
                <w:rFonts w:hint="eastAsia" w:ascii="宋体" w:hAnsi="宋体" w:eastAsia="宋体" w:cs="宋体"/>
                <w:color w:val="auto"/>
                <w:kern w:val="0"/>
                <w:sz w:val="22"/>
                <w:szCs w:val="22"/>
                <w:highlight w:val="none"/>
                <w:lang w:eastAsia="zh-CN"/>
              </w:rPr>
              <w:t>法律规定退休年龄前有劳动能力者，</w:t>
            </w:r>
            <w:r>
              <w:rPr>
                <w:rFonts w:hint="eastAsia" w:ascii="宋体" w:hAnsi="宋体" w:eastAsia="宋体" w:cs="宋体"/>
                <w:color w:val="auto"/>
                <w:kern w:val="0"/>
                <w:sz w:val="22"/>
                <w:szCs w:val="22"/>
                <w:highlight w:val="none"/>
              </w:rPr>
              <w:t>身体健康、品行良好、责任心强、无违法纪录</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初中以上学历。</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498A7">
            <w:pPr>
              <w:snapToGrid w:val="0"/>
              <w:jc w:val="center"/>
              <w:rPr>
                <w:rFonts w:hint="eastAsia" w:ascii="宋体" w:hAnsi="宋体" w:eastAsia="宋体" w:cs="宋体"/>
                <w:color w:val="auto"/>
                <w:sz w:val="21"/>
                <w:szCs w:val="21"/>
                <w:highlight w:val="none"/>
              </w:rPr>
            </w:pPr>
          </w:p>
        </w:tc>
      </w:tr>
      <w:tr w14:paraId="28A571A9">
        <w:tblPrEx>
          <w:tblCellMar>
            <w:top w:w="0" w:type="dxa"/>
            <w:left w:w="108" w:type="dxa"/>
            <w:bottom w:w="0" w:type="dxa"/>
            <w:right w:w="108" w:type="dxa"/>
          </w:tblCellMar>
        </w:tblPrEx>
        <w:trPr>
          <w:trHeight w:val="567" w:hRule="atLeast"/>
          <w:jc w:val="center"/>
        </w:trPr>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457C0">
            <w:pPr>
              <w:snapToGrid w:val="0"/>
              <w:jc w:val="center"/>
              <w:rPr>
                <w:rFonts w:hint="eastAsia" w:ascii="宋体" w:hAnsi="宋体" w:eastAsia="宋体" w:cs="宋体"/>
                <w:color w:val="auto"/>
                <w:sz w:val="21"/>
                <w:szCs w:val="21"/>
                <w:highlight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D8565">
            <w:pPr>
              <w:widowControl/>
              <w:snapToGrid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kern w:val="0"/>
                <w:sz w:val="22"/>
                <w:szCs w:val="22"/>
                <w:highlight w:val="none"/>
                <w:lang w:val="en-US" w:eastAsia="zh-CN"/>
              </w:rPr>
              <w:t>10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C082C">
            <w:pPr>
              <w:widowControl/>
              <w:snapToGri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2"/>
                <w:szCs w:val="22"/>
                <w:highlight w:val="none"/>
              </w:rPr>
              <w:t>女</w:t>
            </w:r>
          </w:p>
        </w:tc>
        <w:tc>
          <w:tcPr>
            <w:tcW w:w="4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75760">
            <w:pPr>
              <w:widowControl/>
              <w:snapToGrid w:val="0"/>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2"/>
                <w:szCs w:val="22"/>
                <w:highlight w:val="none"/>
              </w:rPr>
              <w:t>女性年龄要求在</w:t>
            </w:r>
            <w:r>
              <w:rPr>
                <w:rFonts w:hint="eastAsia" w:ascii="宋体" w:hAnsi="宋体" w:eastAsia="宋体" w:cs="宋体"/>
                <w:color w:val="auto"/>
                <w:kern w:val="0"/>
                <w:sz w:val="22"/>
                <w:szCs w:val="22"/>
                <w:highlight w:val="none"/>
                <w:lang w:eastAsia="zh-CN"/>
              </w:rPr>
              <w:t>法律规定退休年龄前有劳动能力者，</w:t>
            </w:r>
            <w:r>
              <w:rPr>
                <w:rFonts w:hint="eastAsia" w:ascii="宋体" w:hAnsi="宋体" w:eastAsia="宋体" w:cs="宋体"/>
                <w:color w:val="auto"/>
                <w:kern w:val="0"/>
                <w:sz w:val="22"/>
                <w:szCs w:val="22"/>
                <w:highlight w:val="none"/>
              </w:rPr>
              <w:t>身体健康、品行良好、责任心强、无违法纪录</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初中以上学历。</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9C33C">
            <w:pPr>
              <w:snapToGrid w:val="0"/>
              <w:jc w:val="center"/>
              <w:rPr>
                <w:rFonts w:hint="eastAsia" w:ascii="宋体" w:hAnsi="宋体" w:eastAsia="宋体" w:cs="宋体"/>
                <w:color w:val="auto"/>
                <w:sz w:val="21"/>
                <w:szCs w:val="21"/>
                <w:highlight w:val="none"/>
              </w:rPr>
            </w:pPr>
          </w:p>
        </w:tc>
      </w:tr>
      <w:tr w14:paraId="32DB5B24">
        <w:tblPrEx>
          <w:tblCellMar>
            <w:top w:w="0" w:type="dxa"/>
            <w:left w:w="108" w:type="dxa"/>
            <w:bottom w:w="0" w:type="dxa"/>
            <w:right w:w="108" w:type="dxa"/>
          </w:tblCellMar>
        </w:tblPrEx>
        <w:trPr>
          <w:trHeight w:val="582" w:hRule="atLeast"/>
          <w:jc w:val="center"/>
        </w:trPr>
        <w:tc>
          <w:tcPr>
            <w:tcW w:w="11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AC16A">
            <w:pPr>
              <w:widowControl/>
              <w:snapToGri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4"/>
                <w:szCs w:val="24"/>
                <w:highlight w:val="none"/>
              </w:rPr>
              <w:t>总计</w:t>
            </w:r>
          </w:p>
        </w:tc>
        <w:tc>
          <w:tcPr>
            <w:tcW w:w="642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8938619">
            <w:pPr>
              <w:widowControl/>
              <w:snapToGrid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2"/>
                <w:szCs w:val="22"/>
                <w:highlight w:val="none"/>
                <w:lang w:val="en-US" w:eastAsia="zh-CN"/>
              </w:rPr>
              <w:t>35</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A2955">
            <w:pPr>
              <w:snapToGrid w:val="0"/>
              <w:jc w:val="center"/>
              <w:rPr>
                <w:rFonts w:hint="eastAsia" w:ascii="宋体" w:hAnsi="宋体" w:eastAsia="宋体" w:cs="宋体"/>
                <w:color w:val="auto"/>
                <w:sz w:val="21"/>
                <w:szCs w:val="21"/>
                <w:highlight w:val="none"/>
              </w:rPr>
            </w:pPr>
          </w:p>
        </w:tc>
      </w:tr>
    </w:tbl>
    <w:p w14:paraId="418D249F">
      <w:pPr>
        <w:keepNext w:val="0"/>
        <w:keepLines w:val="0"/>
        <w:pageBreakBefore w:val="0"/>
        <w:widowControl w:val="0"/>
        <w:kinsoku/>
        <w:wordWrap/>
        <w:overflowPunct/>
        <w:topLinePunct w:val="0"/>
        <w:autoSpaceDE w:val="0"/>
        <w:autoSpaceDN w:val="0"/>
        <w:bidi w:val="0"/>
        <w:adjustRightInd w:val="0"/>
        <w:snapToGrid w:val="0"/>
        <w:spacing w:line="324"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中标人必须按不少于上述人员的数量进行配置，否则采购人有权终止合同。</w:t>
      </w:r>
    </w:p>
    <w:p w14:paraId="3DB830B3">
      <w:pPr>
        <w:keepNext w:val="0"/>
        <w:keepLines w:val="0"/>
        <w:pageBreakBefore w:val="0"/>
        <w:widowControl w:val="0"/>
        <w:kinsoku/>
        <w:wordWrap/>
        <w:overflowPunct/>
        <w:topLinePunct w:val="0"/>
        <w:autoSpaceDE w:val="0"/>
        <w:autoSpaceDN w:val="0"/>
        <w:bidi w:val="0"/>
        <w:adjustRightInd w:val="0"/>
        <w:snapToGrid w:val="0"/>
        <w:spacing w:line="324"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注：本项目所有员工都在计算范围内，所有人员实发工资每月不得低于3500元。</w:t>
      </w:r>
    </w:p>
    <w:p w14:paraId="09F7FCC3">
      <w:pPr>
        <w:keepNext w:val="0"/>
        <w:keepLines w:val="0"/>
        <w:pageBreakBefore w:val="0"/>
        <w:widowControl w:val="0"/>
        <w:kinsoku/>
        <w:wordWrap/>
        <w:overflowPunct/>
        <w:topLinePunct w:val="0"/>
        <w:autoSpaceDE w:val="0"/>
        <w:autoSpaceDN w:val="0"/>
        <w:bidi w:val="0"/>
        <w:adjustRightInd w:val="0"/>
        <w:snapToGrid w:val="0"/>
        <w:spacing w:line="324"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(三)工作时间</w:t>
      </w:r>
    </w:p>
    <w:p w14:paraId="41B86629">
      <w:pPr>
        <w:keepNext w:val="0"/>
        <w:keepLines w:val="0"/>
        <w:pageBreakBefore w:val="0"/>
        <w:widowControl w:val="0"/>
        <w:kinsoku/>
        <w:wordWrap/>
        <w:overflowPunct/>
        <w:topLinePunct w:val="0"/>
        <w:autoSpaceDE w:val="0"/>
        <w:autoSpaceDN w:val="0"/>
        <w:bidi w:val="0"/>
        <w:adjustRightInd w:val="0"/>
        <w:snapToGrid w:val="0"/>
        <w:spacing w:line="324"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上班时间：夏季上午：6：00---晚上10：00</w:t>
      </w:r>
    </w:p>
    <w:p w14:paraId="4CFDBC6A">
      <w:pPr>
        <w:keepNext w:val="0"/>
        <w:keepLines w:val="0"/>
        <w:pageBreakBefore w:val="0"/>
        <w:widowControl w:val="0"/>
        <w:kinsoku/>
        <w:wordWrap/>
        <w:overflowPunct/>
        <w:topLinePunct w:val="0"/>
        <w:autoSpaceDE w:val="0"/>
        <w:autoSpaceDN w:val="0"/>
        <w:bidi w:val="0"/>
        <w:adjustRightInd w:val="0"/>
        <w:snapToGrid w:val="0"/>
        <w:spacing w:line="324"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冬季上午：6：00---晚上9：00</w:t>
      </w:r>
    </w:p>
    <w:p w14:paraId="4ECA3A10">
      <w:pPr>
        <w:keepNext w:val="0"/>
        <w:keepLines w:val="0"/>
        <w:pageBreakBefore w:val="0"/>
        <w:widowControl w:val="0"/>
        <w:kinsoku/>
        <w:wordWrap/>
        <w:overflowPunct/>
        <w:topLinePunct w:val="0"/>
        <w:autoSpaceDE w:val="0"/>
        <w:autoSpaceDN w:val="0"/>
        <w:bidi w:val="0"/>
        <w:adjustRightInd w:val="0"/>
        <w:snapToGrid w:val="0"/>
        <w:spacing w:line="324"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可调配人员可用于早间、中午、晚间值班，保证上述时间段不能空岗。</w:t>
      </w:r>
    </w:p>
    <w:p w14:paraId="0062746D">
      <w:pPr>
        <w:keepNext w:val="0"/>
        <w:keepLines w:val="0"/>
        <w:pageBreakBefore w:val="0"/>
        <w:widowControl w:val="0"/>
        <w:numPr>
          <w:ilvl w:val="0"/>
          <w:numId w:val="2"/>
        </w:numPr>
        <w:kinsoku/>
        <w:wordWrap/>
        <w:overflowPunct/>
        <w:topLinePunct w:val="0"/>
        <w:autoSpaceDE w:val="0"/>
        <w:autoSpaceDN w:val="0"/>
        <w:bidi w:val="0"/>
        <w:adjustRightInd w:val="0"/>
        <w:snapToGrid w:val="0"/>
        <w:spacing w:line="324"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装备要求：包含机动车2辆、执法纪录仪</w:t>
      </w:r>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auto"/>
          <w:sz w:val="24"/>
          <w:szCs w:val="24"/>
          <w:highlight w:val="none"/>
        </w:rPr>
        <w:t>台、二轮电动车</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辆。装备所有权归中标人所有，使用权归采购人。</w:t>
      </w:r>
    </w:p>
    <w:p w14:paraId="6079AB4A">
      <w:pPr>
        <w:keepNext w:val="0"/>
        <w:keepLines w:val="0"/>
        <w:pageBreakBefore w:val="0"/>
        <w:widowControl w:val="0"/>
        <w:kinsoku/>
        <w:wordWrap/>
        <w:overflowPunct/>
        <w:topLinePunct w:val="0"/>
        <w:bidi w:val="0"/>
        <w:spacing w:line="348" w:lineRule="auto"/>
        <w:ind w:firstLine="422"/>
        <w:textAlignment w:val="auto"/>
        <w:rPr>
          <w:rStyle w:val="34"/>
          <w:rFonts w:ascii="宋体" w:hAnsi="宋体" w:eastAsia="宋体" w:cs="宋体"/>
          <w:bCs/>
          <w:color w:val="auto"/>
          <w:sz w:val="24"/>
          <w:szCs w:val="24"/>
          <w:highlight w:val="none"/>
        </w:rPr>
      </w:pPr>
      <w:r>
        <w:rPr>
          <w:rStyle w:val="34"/>
          <w:rFonts w:hint="eastAsia" w:ascii="宋体" w:hAnsi="宋体" w:eastAsia="宋体" w:cs="宋体"/>
          <w:b/>
          <w:bCs w:val="0"/>
          <w:color w:val="auto"/>
          <w:sz w:val="24"/>
          <w:szCs w:val="24"/>
          <w:highlight w:val="none"/>
          <w:lang w:val="en-US" w:eastAsia="zh-CN"/>
        </w:rPr>
        <w:t>注：所有装备安全由乙方负全部责任。</w:t>
      </w:r>
    </w:p>
    <w:p w14:paraId="62B5D870">
      <w:pPr>
        <w:keepNext w:val="0"/>
        <w:keepLines w:val="0"/>
        <w:pageBreakBefore w:val="0"/>
        <w:widowControl w:val="0"/>
        <w:kinsoku/>
        <w:wordWrap/>
        <w:overflowPunct/>
        <w:topLinePunct w:val="0"/>
        <w:bidi w:val="0"/>
        <w:spacing w:line="348" w:lineRule="auto"/>
        <w:ind w:firstLine="420"/>
        <w:textAlignment w:val="auto"/>
        <w:rPr>
          <w:rStyle w:val="34"/>
          <w:rFonts w:hint="eastAsia" w:ascii="宋体" w:hAnsi="宋体" w:eastAsia="宋体" w:cs="宋体"/>
          <w:bCs/>
          <w:color w:val="auto"/>
          <w:sz w:val="24"/>
          <w:szCs w:val="24"/>
          <w:highlight w:val="none"/>
        </w:rPr>
      </w:pPr>
      <w:r>
        <w:rPr>
          <w:rStyle w:val="34"/>
          <w:rFonts w:hint="eastAsia" w:ascii="宋体" w:hAnsi="宋体" w:eastAsia="宋体" w:cs="宋体"/>
          <w:bCs/>
          <w:color w:val="auto"/>
          <w:sz w:val="24"/>
          <w:szCs w:val="24"/>
          <w:highlight w:val="none"/>
        </w:rPr>
        <w:t>工作服饰要求：</w:t>
      </w:r>
    </w:p>
    <w:p w14:paraId="086FF2B1">
      <w:pPr>
        <w:keepNext w:val="0"/>
        <w:keepLines w:val="0"/>
        <w:pageBreakBefore w:val="0"/>
        <w:widowControl w:val="0"/>
        <w:kinsoku/>
        <w:wordWrap/>
        <w:overflowPunct/>
        <w:topLinePunct w:val="0"/>
        <w:bidi w:val="0"/>
        <w:spacing w:line="348" w:lineRule="auto"/>
        <w:ind w:firstLine="420"/>
        <w:textAlignment w:val="auto"/>
        <w:rPr>
          <w:rStyle w:val="34"/>
          <w:rFonts w:ascii="宋体" w:hAnsi="宋体" w:eastAsia="宋体" w:cs="宋体"/>
          <w:bCs/>
          <w:color w:val="auto"/>
          <w:sz w:val="24"/>
          <w:szCs w:val="24"/>
          <w:highlight w:val="none"/>
        </w:rPr>
      </w:pPr>
      <w:r>
        <w:rPr>
          <w:rStyle w:val="34"/>
          <w:rFonts w:hint="eastAsia" w:ascii="宋体" w:hAnsi="宋体" w:eastAsia="宋体" w:cs="宋体"/>
          <w:bCs/>
          <w:color w:val="auto"/>
          <w:sz w:val="24"/>
          <w:szCs w:val="24"/>
          <w:highlight w:val="none"/>
        </w:rPr>
        <w:t>队员在工作出勤时间，应当根据季节时令，穿着统一的制式服装，佩戴统一的标志标识，并按规定佩戴帽徽、肩章、领花、臂章、胸徽、胸号等标志标识，不得佩戴与身份不符的其它标志标识或饰品。制式服装应当成套规范穿着，标配黑色皮带、黑色皮鞋，保持整洁完好，不得与便服混穿，不得披衣、敞怀、挽袖、卷裤腿。</w:t>
      </w:r>
    </w:p>
    <w:p w14:paraId="7F9AF6A4">
      <w:pPr>
        <w:keepNext w:val="0"/>
        <w:keepLines w:val="0"/>
        <w:pageBreakBefore w:val="0"/>
        <w:widowControl w:val="0"/>
        <w:kinsoku/>
        <w:wordWrap/>
        <w:overflowPunct/>
        <w:topLinePunct w:val="0"/>
        <w:bidi w:val="0"/>
        <w:spacing w:line="348" w:lineRule="auto"/>
        <w:ind w:firstLine="420"/>
        <w:textAlignment w:val="auto"/>
        <w:rPr>
          <w:rFonts w:hint="eastAsia"/>
        </w:rPr>
      </w:pPr>
      <w:r>
        <w:rPr>
          <w:rStyle w:val="34"/>
          <w:rFonts w:hint="eastAsia" w:ascii="宋体" w:hAnsi="宋体" w:eastAsia="宋体" w:cs="宋体"/>
          <w:bCs/>
          <w:color w:val="auto"/>
          <w:sz w:val="24"/>
          <w:szCs w:val="24"/>
          <w:highlight w:val="none"/>
        </w:rPr>
        <w:t>在合同签订后1</w:t>
      </w:r>
      <w:r>
        <w:rPr>
          <w:rStyle w:val="34"/>
          <w:rFonts w:ascii="宋体" w:hAnsi="宋体" w:eastAsia="宋体" w:cs="宋体"/>
          <w:bCs/>
          <w:color w:val="auto"/>
          <w:sz w:val="24"/>
          <w:szCs w:val="24"/>
          <w:highlight w:val="none"/>
        </w:rPr>
        <w:t>0</w:t>
      </w:r>
      <w:r>
        <w:rPr>
          <w:rStyle w:val="34"/>
          <w:rFonts w:hint="eastAsia" w:ascii="宋体" w:hAnsi="宋体" w:eastAsia="宋体" w:cs="宋体"/>
          <w:bCs/>
          <w:color w:val="auto"/>
          <w:sz w:val="24"/>
          <w:szCs w:val="24"/>
          <w:highlight w:val="none"/>
        </w:rPr>
        <w:t>天内，乙方必须按照招投标文件清单中的车辆、员工工作服饰及设备配置要求将车辆及设备配置至甲方指定现场核查，征得甲方同意后，人员、车辆及其他装置持证上岗；</w:t>
      </w:r>
      <w:r>
        <w:rPr>
          <w:rStyle w:val="34"/>
          <w:rFonts w:hint="eastAsia" w:ascii="宋体" w:hAnsi="宋体" w:eastAsia="宋体" w:cs="宋体"/>
          <w:bCs/>
          <w:color w:val="auto"/>
          <w:sz w:val="24"/>
          <w:szCs w:val="24"/>
          <w:highlight w:val="none"/>
          <w:lang w:val="en-US" w:eastAsia="zh-CN"/>
        </w:rPr>
        <w:t>乙方</w:t>
      </w:r>
      <w:r>
        <w:rPr>
          <w:rStyle w:val="34"/>
          <w:rFonts w:hint="eastAsia" w:ascii="宋体" w:hAnsi="宋体" w:eastAsia="宋体" w:cs="宋体"/>
          <w:bCs/>
          <w:color w:val="auto"/>
          <w:sz w:val="24"/>
          <w:szCs w:val="24"/>
          <w:highlight w:val="none"/>
        </w:rPr>
        <w:t>作业车辆</w:t>
      </w:r>
      <w:r>
        <w:rPr>
          <w:rStyle w:val="34"/>
          <w:rFonts w:hint="eastAsia" w:ascii="宋体" w:hAnsi="宋体" w:eastAsia="宋体" w:cs="宋体"/>
          <w:bCs/>
          <w:color w:val="auto"/>
          <w:sz w:val="24"/>
          <w:szCs w:val="24"/>
          <w:highlight w:val="none"/>
          <w:lang w:val="en-US" w:eastAsia="zh-CN"/>
        </w:rPr>
        <w:t>需符合相关法律法规要求，车辆标记字样需通过甲方认可</w:t>
      </w:r>
      <w:r>
        <w:rPr>
          <w:rStyle w:val="34"/>
          <w:rFonts w:hint="eastAsia" w:ascii="宋体" w:hAnsi="宋体" w:eastAsia="宋体" w:cs="宋体"/>
          <w:bCs/>
          <w:color w:val="auto"/>
          <w:sz w:val="24"/>
          <w:szCs w:val="24"/>
          <w:highlight w:val="none"/>
        </w:rPr>
        <w:t>；当天</w:t>
      </w:r>
      <w:r>
        <w:rPr>
          <w:rStyle w:val="34"/>
          <w:rFonts w:hint="eastAsia" w:ascii="宋体" w:hAnsi="宋体" w:eastAsia="宋体" w:cs="宋体"/>
          <w:bCs/>
          <w:color w:val="auto"/>
          <w:sz w:val="24"/>
          <w:szCs w:val="24"/>
          <w:highlight w:val="none"/>
          <w:lang w:val="en-US" w:eastAsia="zh-CN"/>
        </w:rPr>
        <w:t>工作</w:t>
      </w:r>
      <w:r>
        <w:rPr>
          <w:rStyle w:val="34"/>
          <w:rFonts w:hint="eastAsia" w:ascii="宋体" w:hAnsi="宋体" w:eastAsia="宋体" w:cs="宋体"/>
          <w:bCs/>
          <w:color w:val="auto"/>
          <w:sz w:val="24"/>
          <w:szCs w:val="24"/>
          <w:highlight w:val="none"/>
        </w:rPr>
        <w:t>结束后须将执法记录仪中相关数据</w:t>
      </w:r>
      <w:r>
        <w:rPr>
          <w:rStyle w:val="34"/>
          <w:rFonts w:hint="eastAsia" w:ascii="宋体" w:hAnsi="宋体" w:eastAsia="宋体" w:cs="宋体"/>
          <w:bCs/>
          <w:color w:val="auto"/>
          <w:sz w:val="24"/>
          <w:szCs w:val="24"/>
          <w:highlight w:val="none"/>
          <w:lang w:val="en-US" w:eastAsia="zh-CN"/>
        </w:rPr>
        <w:t>及工作日志形成台账予以备份保存，随时供甲方查阅。</w:t>
      </w:r>
      <w:r>
        <w:rPr>
          <w:rStyle w:val="34"/>
          <w:rFonts w:hint="eastAsia" w:ascii="宋体" w:hAnsi="宋体" w:eastAsia="宋体" w:cs="宋体"/>
          <w:bCs/>
          <w:color w:val="auto"/>
          <w:sz w:val="24"/>
          <w:szCs w:val="24"/>
          <w:highlight w:val="none"/>
        </w:rPr>
        <w:t>如</w:t>
      </w:r>
      <w:r>
        <w:rPr>
          <w:rStyle w:val="34"/>
          <w:rFonts w:ascii="宋体" w:hAnsi="宋体" w:eastAsia="宋体" w:cs="宋体"/>
          <w:bCs/>
          <w:color w:val="auto"/>
          <w:sz w:val="24"/>
          <w:szCs w:val="24"/>
          <w:highlight w:val="none"/>
        </w:rPr>
        <w:t>乙方不</w:t>
      </w:r>
      <w:r>
        <w:rPr>
          <w:rStyle w:val="34"/>
          <w:rFonts w:hint="eastAsia" w:ascii="宋体" w:hAnsi="宋体" w:eastAsia="宋体" w:cs="宋体"/>
          <w:bCs/>
          <w:color w:val="auto"/>
          <w:sz w:val="24"/>
          <w:szCs w:val="24"/>
          <w:highlight w:val="none"/>
        </w:rPr>
        <w:t>能满足上述要求及</w:t>
      </w:r>
      <w:r>
        <w:rPr>
          <w:rStyle w:val="34"/>
          <w:rFonts w:ascii="宋体" w:hAnsi="宋体" w:eastAsia="宋体" w:cs="宋体"/>
          <w:bCs/>
          <w:color w:val="auto"/>
          <w:sz w:val="24"/>
          <w:szCs w:val="24"/>
          <w:highlight w:val="none"/>
        </w:rPr>
        <w:t>甲方管理，甲方有权终止合同，乙方所交纳的履约保证金作违约金不予退还</w:t>
      </w:r>
      <w:r>
        <w:rPr>
          <w:rStyle w:val="34"/>
          <w:rFonts w:hint="eastAsia" w:ascii="宋体" w:hAnsi="宋体" w:eastAsia="宋体" w:cs="宋体"/>
          <w:bCs/>
          <w:color w:val="auto"/>
          <w:sz w:val="24"/>
          <w:szCs w:val="24"/>
          <w:highlight w:val="none"/>
        </w:rPr>
        <w:t>。</w:t>
      </w:r>
    </w:p>
    <w:p w14:paraId="28631689">
      <w:pPr>
        <w:autoSpaceDE w:val="0"/>
        <w:autoSpaceDN w:val="0"/>
        <w:adjustRightInd w:val="0"/>
        <w:snapToGrid w:val="0"/>
        <w:spacing w:line="360" w:lineRule="auto"/>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二、履约保证金、合同价款及支付:</w:t>
      </w:r>
    </w:p>
    <w:p w14:paraId="7BDEA5B6">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2.1乙方交纳人民币合同金额的</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%元作为本合同的履约保证金。</w:t>
      </w:r>
    </w:p>
    <w:p w14:paraId="430984E9">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（备注：采购人应当对AA评级及以上政府采购供应商（需提供信用管理部门备案的第三方信用报告）免收履约保证金或降低履约保证金缴纳比例。</w:t>
      </w: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本项目约定为</w:t>
      </w:r>
      <w:r>
        <w:rPr>
          <w:rFonts w:hint="eastAsia" w:ascii="宋体" w:hAnsi="宋体" w:eastAsia="宋体" w:cs="宋体"/>
          <w:color w:val="000000" w:themeColor="text1"/>
          <w:sz w:val="24"/>
          <w:szCs w:val="24"/>
          <w:highlight w:val="none"/>
          <w14:textFill>
            <w14:solidFill>
              <w14:schemeClr w14:val="tx1"/>
            </w14:solidFill>
          </w14:textFill>
        </w:rPr>
        <w:t>降低履约保证金缴纳比例</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降低比例为</w:t>
      </w:r>
      <w:r>
        <w:rPr>
          <w:rFonts w:hint="eastAsia" w:ascii="宋体" w:hAnsi="宋体" w:eastAsia="宋体" w:cs="宋体"/>
          <w:color w:val="000000" w:themeColor="text1"/>
          <w:sz w:val="24"/>
          <w:szCs w:val="24"/>
          <w:highlight w:val="none"/>
          <w14:textFill>
            <w14:solidFill>
              <w14:schemeClr w14:val="tx1"/>
            </w14:solidFill>
          </w14:textFill>
        </w:rPr>
        <w:t>合同金额的</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w:t>
      </w:r>
    </w:p>
    <w:p w14:paraId="6995CF9E">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.2确需收取履约保证金的，履约保证金的缴纳形式：</w:t>
      </w:r>
    </w:p>
    <w:p w14:paraId="778AF97E">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404EA79">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.2.2 如以履约保函（保险）形式缴纳履约保证金，供应商可通过政府采购电子履约保函（保险）平台（www.jsdzbh.com）在线申请履约保函（保险）。</w:t>
      </w:r>
    </w:p>
    <w:p w14:paraId="24243298">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.3合同履行结束后，甲方应及时退还交纳的履约保证金。</w:t>
      </w:r>
    </w:p>
    <w:p w14:paraId="4E23BEB0">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.4履约保证金的退还：</w:t>
      </w:r>
    </w:p>
    <w:p w14:paraId="32C3CC9D">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.4.1方式：退还至投标人缴纳履约保证金的账户。如为保函，在到期时自行失效。</w:t>
      </w:r>
    </w:p>
    <w:p w14:paraId="653A1A82">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.4.2时间：验收合格且采购人收到发票后30日内。</w:t>
      </w:r>
    </w:p>
    <w:p w14:paraId="1E4E3681">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.4.3条件：按合同要求全部履约完成并经采购人验收合格，且采购人收到中标人出具的发票。</w:t>
      </w:r>
    </w:p>
    <w:p w14:paraId="69665D71">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.4.4不予退还情形：</w:t>
      </w:r>
    </w:p>
    <w:p w14:paraId="36D3189C">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除不可抗力情况外，投标人出现下列情形之一的，其履约保证金，招标人将视情节决定不予退还或部分不予退还。</w:t>
      </w:r>
    </w:p>
    <w:p w14:paraId="30AB08A3">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（1）中标人无正当理由拒绝签订合同的，或者在签订合同时向采购人提出附加条件或者更改合同实质性内容要求的；</w:t>
      </w:r>
    </w:p>
    <w:p w14:paraId="770DAA12">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（2）中标人不履行与采购人订立的合同的；</w:t>
      </w:r>
    </w:p>
    <w:p w14:paraId="0E0295E4">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（3）中标人所供货物或服务不符合招标文件规定要求的；</w:t>
      </w:r>
    </w:p>
    <w:p w14:paraId="5D55BC26">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（4）中标人采取欺骗、弄虚作假方式投标的或与其它投标人串通投标的；</w:t>
      </w:r>
    </w:p>
    <w:p w14:paraId="1EFE54F2">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（5）中标人将合同内容转包、违法分包的；</w:t>
      </w:r>
    </w:p>
    <w:p w14:paraId="26D211A4">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（6）中标人故意捏造事实或伪造证明材料，进行虚假恶意投诉或反映的。</w:t>
      </w:r>
    </w:p>
    <w:p w14:paraId="2CEDBC53">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.4.5逾期退还的违约责任：采购人逾期无故未退还履约保证金的，按中国人民银行同期贷款基准利率上浮20%后的利率支付超期资金占用费，但因供应商自身原因导致无法及时退还的除外。</w:t>
      </w:r>
    </w:p>
    <w:p w14:paraId="05F0427F">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合同总价款（大写）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元/年，￥</w:t>
      </w:r>
      <w:r>
        <w:rPr>
          <w:rFonts w:hint="eastAsia" w:ascii="宋体" w:hAnsi="宋体" w:eastAsia="宋体" w:cs="宋体"/>
          <w:color w:val="000000" w:themeColor="text1"/>
          <w:sz w:val="24"/>
          <w:szCs w:val="24"/>
          <w:u w:val="single"/>
          <w14:textFill>
            <w14:solidFill>
              <w14:schemeClr w14:val="tx1"/>
            </w14:solidFill>
          </w14:textFill>
        </w:rPr>
        <w:t xml:space="preserve">        </w:t>
      </w:r>
      <w:bookmarkStart w:id="207" w:name="_GoBack"/>
      <w:bookmarkEnd w:id="207"/>
      <w:r>
        <w:rPr>
          <w:rFonts w:hint="eastAsia" w:ascii="宋体" w:hAnsi="宋体" w:eastAsia="宋体" w:cs="宋体"/>
          <w:color w:val="000000" w:themeColor="text1"/>
          <w:sz w:val="24"/>
          <w:szCs w:val="24"/>
          <w14:textFill>
            <w14:solidFill>
              <w14:schemeClr w14:val="tx1"/>
            </w14:solidFill>
          </w14:textFill>
        </w:rPr>
        <w:t>元/年。即中标月服务费为￥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元/月（中标月服务费=中标价/12）。</w:t>
      </w:r>
    </w:p>
    <w:p w14:paraId="7E78E803">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 xml:space="preserve">合同款支付办法： </w:t>
      </w:r>
    </w:p>
    <w:p w14:paraId="6CD6C6A4">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（1）合同签订后支付30%作为预付款；</w:t>
      </w:r>
    </w:p>
    <w:p w14:paraId="719D0D58">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自本合同开始后自第一个月起，甲方向乙方支付的每月服务费中扣除预付款的10%，直至预付款抵扣完毕。如本合同到期终止或提前解除后，预付款如有剩余，则乙方于双方合作终止之日7天内退还甲方，如乙方未按规定时间退还，甲方直接从履约保证金中扣除。每季度付款额按年中标价/4为基数（不足月费用按年度服务费用除以365日计），并扣除预付款的10%*3（预付款的扣除自合同开始后第一个月起，扣完为止）扣款，每季度次月</w:t>
      </w:r>
      <w:r>
        <w:rPr>
          <w:rFonts w:hint="eastAsia" w:ascii="宋体" w:hAnsi="宋体" w:eastAsia="宋体" w:cs="宋体"/>
          <w:color w:val="000000" w:themeColor="text1"/>
          <w:sz w:val="24"/>
          <w:szCs w:val="24"/>
          <w14:textFill>
            <w14:solidFill>
              <w14:schemeClr w14:val="tx1"/>
            </w14:solidFill>
          </w14:textFill>
        </w:rPr>
        <w:t>25日</w:t>
      </w:r>
      <w:r>
        <w:rPr>
          <w:rFonts w:hint="eastAsia" w:ascii="宋体" w:hAnsi="宋体" w:eastAsia="宋体" w:cs="宋体"/>
          <w:color w:val="000000" w:themeColor="text1"/>
          <w:sz w:val="24"/>
          <w:szCs w:val="24"/>
          <w:lang w:val="en-US" w:eastAsia="zh-CN"/>
          <w14:textFill>
            <w14:solidFill>
              <w14:schemeClr w14:val="tx1"/>
            </w14:solidFill>
          </w14:textFill>
        </w:rPr>
        <w:t>前凭票支付上季度的费用，甲方收到发票10日内付清该笔发票金额。</w:t>
      </w:r>
    </w:p>
    <w:p w14:paraId="6F1B7299">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注：1、按以上付款，一律通过银行结转。签订合同前双方约定开票方式，承包人必须按发包人要求的方式足额纳税</w:t>
      </w:r>
      <w:r>
        <w:rPr>
          <w:rFonts w:hint="eastAsia" w:ascii="宋体" w:hAnsi="宋体" w:eastAsia="宋体" w:cs="宋体"/>
          <w:color w:val="000000" w:themeColor="text1"/>
          <w:sz w:val="24"/>
          <w:szCs w:val="24"/>
          <w:lang w:eastAsia="zh-CN"/>
          <w14:textFill>
            <w14:solidFill>
              <w14:schemeClr w14:val="tx1"/>
            </w14:solidFill>
          </w14:textFill>
        </w:rPr>
        <w:t>；</w:t>
      </w:r>
    </w:p>
    <w:p w14:paraId="0A0EBF5A">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2、项目付款前提供符合发包人要求的发票，税率按国家规定；</w:t>
      </w:r>
    </w:p>
    <w:p w14:paraId="0910B55B">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3、乙方需将每月人工工资账单明细、保险明细提供给甲方备案核查。</w:t>
      </w:r>
    </w:p>
    <w:p w14:paraId="5B9E1BE3">
      <w:pPr>
        <w:autoSpaceDE w:val="0"/>
        <w:autoSpaceDN w:val="0"/>
        <w:adjustRightInd w:val="0"/>
        <w:snapToGrid w:val="0"/>
        <w:spacing w:line="360" w:lineRule="auto"/>
        <w:ind w:firstLine="482" w:firstLineChars="20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三、甲方权利和义务：</w:t>
      </w:r>
    </w:p>
    <w:p w14:paraId="0A15F5EA">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3.1甲方委</w:t>
      </w:r>
      <w:r>
        <w:rPr>
          <w:rFonts w:hint="eastAsia" w:ascii="宋体" w:hAnsi="宋体" w:eastAsia="宋体" w:cs="宋体"/>
          <w:color w:val="000000" w:themeColor="text1"/>
          <w:sz w:val="24"/>
          <w:szCs w:val="24"/>
          <w:highlight w:val="none"/>
          <w14:textFill>
            <w14:solidFill>
              <w14:schemeClr w14:val="tx1"/>
            </w14:solidFill>
          </w14:textFill>
        </w:rPr>
        <w:t>托</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担任该项目的</w:t>
      </w:r>
      <w:r>
        <w:rPr>
          <w:rFonts w:hint="eastAsia" w:ascii="宋体" w:hAnsi="宋体" w:eastAsia="宋体" w:cs="宋体"/>
          <w:color w:val="000000" w:themeColor="text1"/>
          <w:sz w:val="24"/>
          <w:szCs w:val="24"/>
          <w14:textFill>
            <w14:solidFill>
              <w14:schemeClr w14:val="tx1"/>
            </w14:solidFill>
          </w14:textFill>
        </w:rPr>
        <w:t>现场代表。</w:t>
      </w:r>
    </w:p>
    <w:p w14:paraId="1E899259">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3.2甲方代表可委托有关具体管理人员，行使自己相应的权利和承担自己相应的职责，随时监督并对承包人进行考核，并可以在任何时候撤回，撤回和委托均应提前 1 天通知承包人。</w:t>
      </w:r>
    </w:p>
    <w:p w14:paraId="156EE0C7">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3.3甲方有权对路段划分进行调整，工作量变化承包人需要服从突击任务安排，不再另外支付相关费用。</w:t>
      </w:r>
    </w:p>
    <w:p w14:paraId="1B2F2F8A">
      <w:pPr>
        <w:autoSpaceDE w:val="0"/>
        <w:autoSpaceDN w:val="0"/>
        <w:adjustRightInd w:val="0"/>
        <w:snapToGrid w:val="0"/>
        <w:spacing w:line="360" w:lineRule="auto"/>
        <w:ind w:firstLine="482" w:firstLineChars="20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四、承包人权利和义务：</w:t>
      </w:r>
    </w:p>
    <w:p w14:paraId="46A08661">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4.1承包人委派担任该项目的项目负责人(承包人现场代表)。</w:t>
      </w:r>
    </w:p>
    <w:p w14:paraId="73228F5D">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4.2承包人应按约定时间和要求，完成以下工作：</w:t>
      </w:r>
    </w:p>
    <w:p w14:paraId="645829D8">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(1)做好文明服务工作，保证服务场地符合城市管理的有关规定；</w:t>
      </w:r>
    </w:p>
    <w:p w14:paraId="787398AB">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(2)项目服务中注意加强各项安全措施，杜绝安全事故的发生。承包人对安全事故负全责。</w:t>
      </w:r>
    </w:p>
    <w:p w14:paraId="34C33EBB">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(3)中标人无条件服从管理考核办法中所有条款。</w:t>
      </w:r>
    </w:p>
    <w:p w14:paraId="1A795AD2">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(4)项目服务结束，必须向委托人递交完整的资料一套。经甲方乙方双方初验。</w:t>
      </w:r>
    </w:p>
    <w:p w14:paraId="338FBA4A">
      <w:pPr>
        <w:autoSpaceDE w:val="0"/>
        <w:autoSpaceDN w:val="0"/>
        <w:adjustRightInd w:val="0"/>
        <w:snapToGrid w:val="0"/>
        <w:spacing w:line="360" w:lineRule="auto"/>
        <w:ind w:firstLine="482" w:firstLineChars="20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五、违约责任</w:t>
      </w:r>
    </w:p>
    <w:p w14:paraId="681A8580">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5.1乙方不服从甲方管理，甲方有权终止合同，乙方所交纳的履约保证金作违约金不予退还。</w:t>
      </w:r>
    </w:p>
    <w:p w14:paraId="110A4027">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5.2乙方擅自转包的，甲方有权终止合同。同时乙方交纳的履约保证金作合同违约金不予退还。</w:t>
      </w:r>
    </w:p>
    <w:p w14:paraId="292DA3D8">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5.3乙方在用工等方面如违反《中华人民共和国劳动合同法》及相关规定， 甲方终止本合同，同时视乙方为违约，所交纳履约保证金作违约金不予退回。</w:t>
      </w:r>
    </w:p>
    <w:p w14:paraId="5F35BD9B">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(1)乙方不按照规定发放工资、福利、缴纳保险等，在当月经费中扣除相关费用，补发当事人并处费用的200%的处罚。</w:t>
      </w:r>
    </w:p>
    <w:p w14:paraId="4AE1528B">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(2)因上班期间发生的交通安全、工伤等意外事故由乙方自行负责处理并承担责任。乙方未按照有关规定处理，引起的矛盾由乙方承担，在次月经费中扣除相关费用并处产生费用的200%的处罚。</w:t>
      </w:r>
    </w:p>
    <w:p w14:paraId="325EABBE">
      <w:pPr>
        <w:autoSpaceDE w:val="0"/>
        <w:autoSpaceDN w:val="0"/>
        <w:adjustRightInd w:val="0"/>
        <w:snapToGrid w:val="0"/>
        <w:spacing w:line="360" w:lineRule="auto"/>
        <w:ind w:firstLine="482" w:firstLineChars="20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六、安全责任</w:t>
      </w:r>
    </w:p>
    <w:p w14:paraId="7DABB5B2">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6.1公司搞好内部管理，加强安全生产教育，每月必须进行一次安全教育宣传、会议、检查、建立台账。</w:t>
      </w:r>
    </w:p>
    <w:p w14:paraId="70713870">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6.2 公司必须与职工签安全责任书，如出现安全事故，责任由乙方(承担)处理。</w:t>
      </w:r>
    </w:p>
    <w:p w14:paraId="39326B4B">
      <w:pPr>
        <w:autoSpaceDE w:val="0"/>
        <w:autoSpaceDN w:val="0"/>
        <w:adjustRightInd w:val="0"/>
        <w:snapToGrid w:val="0"/>
        <w:spacing w:line="360" w:lineRule="auto"/>
        <w:ind w:firstLine="482" w:firstLineChars="20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七、合同的变更</w:t>
      </w:r>
    </w:p>
    <w:p w14:paraId="328A7AF8">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7.1 如发生行政区域调整等不可抗力因素，无条件终止合同。</w:t>
      </w:r>
    </w:p>
    <w:p w14:paraId="5BBA52E7">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7.2 乙方在合同期内，工作未能按照甲方的要求完成任务并考核年内不合格的，无条件终止合同。</w:t>
      </w:r>
    </w:p>
    <w:p w14:paraId="6035174F">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注：考核不合格是指每月扣款费用达到本月总费用的30%。</w:t>
      </w:r>
    </w:p>
    <w:p w14:paraId="67AF7C86">
      <w:pPr>
        <w:pStyle w:val="14"/>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82" w:firstLineChars="200"/>
        <w:jc w:val="both"/>
        <w:textAlignment w:val="auto"/>
        <w:rPr>
          <w:sz w:val="24"/>
          <w:szCs w:val="24"/>
          <w:highlight w:val="none"/>
        </w:rPr>
      </w:pPr>
      <w:r>
        <w:rPr>
          <w:rFonts w:hint="eastAsia" w:ascii="宋体" w:hAnsi="宋体" w:eastAsia="宋体" w:cs="宋体"/>
          <w:b/>
          <w:color w:val="000000"/>
          <w:sz w:val="24"/>
          <w:szCs w:val="24"/>
          <w:highlight w:val="none"/>
          <w:lang w:val="en-US" w:eastAsia="zh-CN"/>
        </w:rPr>
        <w:t>八</w:t>
      </w:r>
      <w:r>
        <w:rPr>
          <w:rFonts w:hint="eastAsia" w:ascii="宋体" w:hAnsi="宋体" w:eastAsia="宋体" w:cs="宋体"/>
          <w:b/>
          <w:color w:val="000000"/>
          <w:sz w:val="24"/>
          <w:szCs w:val="24"/>
          <w:highlight w:val="none"/>
        </w:rPr>
        <w:t>、解决争议的方法</w:t>
      </w:r>
    </w:p>
    <w:p w14:paraId="71315F29">
      <w:pPr>
        <w:pStyle w:val="14"/>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.1双方在签订、履行合同中所发生的一切争议，应通过友好协商解决。如协商不成，由甲方住所地人民法院管辖。</w:t>
      </w:r>
    </w:p>
    <w:p w14:paraId="0E8DC9C2">
      <w:pPr>
        <w:pStyle w:val="14"/>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82" w:firstLineChars="200"/>
        <w:jc w:val="both"/>
        <w:textAlignment w:val="auto"/>
        <w:rPr>
          <w:sz w:val="24"/>
          <w:szCs w:val="24"/>
          <w:highlight w:val="none"/>
        </w:rPr>
      </w:pPr>
      <w:r>
        <w:rPr>
          <w:rFonts w:hint="eastAsia" w:ascii="宋体" w:hAnsi="宋体" w:eastAsia="宋体" w:cs="宋体"/>
          <w:b/>
          <w:color w:val="000000"/>
          <w:sz w:val="24"/>
          <w:szCs w:val="24"/>
          <w:highlight w:val="none"/>
          <w:lang w:val="en-US" w:eastAsia="zh-CN"/>
        </w:rPr>
        <w:t>九</w:t>
      </w:r>
      <w:r>
        <w:rPr>
          <w:rFonts w:hint="eastAsia" w:ascii="宋体" w:hAnsi="宋体" w:eastAsia="宋体" w:cs="宋体"/>
          <w:b/>
          <w:color w:val="000000"/>
          <w:sz w:val="24"/>
          <w:szCs w:val="24"/>
          <w:highlight w:val="none"/>
        </w:rPr>
        <w:t>、合同生效及其</w:t>
      </w:r>
      <w:r>
        <w:rPr>
          <w:rFonts w:hint="eastAsia" w:ascii="宋体" w:hAnsi="宋体" w:eastAsia="宋体" w:cs="宋体"/>
          <w:b/>
          <w:color w:val="000000"/>
          <w:sz w:val="24"/>
          <w:szCs w:val="24"/>
          <w:highlight w:val="none"/>
          <w:lang w:eastAsia="zh-CN"/>
        </w:rPr>
        <w:t>他</w:t>
      </w:r>
    </w:p>
    <w:p w14:paraId="125BC0EA">
      <w:pPr>
        <w:pStyle w:val="14"/>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.1合同经双方法定代表人或授权委托代表人签字并加盖单位公章后生效。</w:t>
      </w:r>
    </w:p>
    <w:p w14:paraId="0B680B96">
      <w:pPr>
        <w:pStyle w:val="14"/>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.2本合同未尽事宜，遵照</w:t>
      </w:r>
      <w:r>
        <w:rPr>
          <w:rFonts w:hint="eastAsia" w:ascii="宋体" w:hAnsi="宋体" w:eastAsia="宋体" w:cs="宋体"/>
          <w:color w:val="FF0000"/>
          <w:highlight w:val="none"/>
          <w:shd w:val="clear" w:color="auto" w:fill="auto"/>
        </w:rPr>
        <w:t>《</w:t>
      </w:r>
      <w:r>
        <w:rPr>
          <w:rFonts w:hint="eastAsia" w:ascii="宋体" w:hAnsi="宋体" w:eastAsia="宋体" w:cs="宋体"/>
          <w:color w:val="FF0000"/>
          <w:highlight w:val="none"/>
          <w:shd w:val="clear" w:color="auto" w:fill="auto"/>
          <w:lang w:val="en-US" w:eastAsia="zh-CN"/>
        </w:rPr>
        <w:t>中华人民共和国</w:t>
      </w:r>
      <w:r>
        <w:rPr>
          <w:rFonts w:hint="eastAsia" w:ascii="宋体" w:hAnsi="宋体" w:eastAsia="宋体" w:cs="宋体"/>
          <w:color w:val="000000"/>
          <w:sz w:val="24"/>
          <w:szCs w:val="24"/>
          <w:highlight w:val="none"/>
        </w:rPr>
        <w:t>民法典》、</w:t>
      </w:r>
      <w:r>
        <w:rPr>
          <w:rFonts w:hint="eastAsia" w:ascii="宋体" w:hAnsi="宋体" w:eastAsia="宋体" w:cs="宋体"/>
          <w:color w:val="FF0000"/>
          <w:highlight w:val="none"/>
          <w:shd w:val="clear" w:color="auto" w:fill="auto"/>
        </w:rPr>
        <w:t>《</w:t>
      </w:r>
      <w:r>
        <w:rPr>
          <w:rFonts w:hint="eastAsia" w:ascii="宋体" w:hAnsi="宋体" w:eastAsia="宋体" w:cs="宋体"/>
          <w:color w:val="FF0000"/>
          <w:highlight w:val="none"/>
          <w:shd w:val="clear" w:color="auto" w:fill="auto"/>
          <w:lang w:val="en-US" w:eastAsia="zh-CN"/>
        </w:rPr>
        <w:t>中华人民共和国</w:t>
      </w:r>
      <w:r>
        <w:rPr>
          <w:rFonts w:hint="eastAsia" w:ascii="宋体" w:hAnsi="宋体" w:eastAsia="宋体" w:cs="宋体"/>
          <w:color w:val="000000"/>
          <w:sz w:val="24"/>
          <w:szCs w:val="24"/>
          <w:highlight w:val="none"/>
        </w:rPr>
        <w:t>政府采购法》有关条文执行。</w:t>
      </w:r>
    </w:p>
    <w:p w14:paraId="28E5F84B">
      <w:pPr>
        <w:pStyle w:val="5"/>
        <w:ind w:firstLine="482" w:firstLineChars="200"/>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.3 本合同正本一式两份，具有同等法律效力，甲方、乙方各执一份。</w:t>
      </w:r>
    </w:p>
    <w:tbl>
      <w:tblPr>
        <w:tblStyle w:val="16"/>
        <w:tblW w:w="4824" w:type="pct"/>
        <w:tblInd w:w="157" w:type="dxa"/>
        <w:tblLayout w:type="autofit"/>
        <w:tblCellMar>
          <w:top w:w="0" w:type="dxa"/>
          <w:left w:w="108" w:type="dxa"/>
          <w:bottom w:w="0" w:type="dxa"/>
          <w:right w:w="108" w:type="dxa"/>
        </w:tblCellMar>
      </w:tblPr>
      <w:tblGrid>
        <w:gridCol w:w="4103"/>
        <w:gridCol w:w="4119"/>
      </w:tblGrid>
      <w:tr w14:paraId="06738DF6">
        <w:tblPrEx>
          <w:tblCellMar>
            <w:top w:w="0" w:type="dxa"/>
            <w:left w:w="108" w:type="dxa"/>
            <w:bottom w:w="0" w:type="dxa"/>
            <w:right w:w="108" w:type="dxa"/>
          </w:tblCellMar>
        </w:tblPrEx>
        <w:trPr>
          <w:trHeight w:val="1134" w:hRule="atLeast"/>
        </w:trPr>
        <w:tc>
          <w:tcPr>
            <w:tcW w:w="4103" w:type="dxa"/>
          </w:tcPr>
          <w:p w14:paraId="2A3BD213">
            <w:pPr>
              <w:autoSpaceDE w:val="0"/>
              <w:autoSpaceDN w:val="0"/>
              <w:adjustRightInd w:val="0"/>
              <w:snapToGrid w:val="0"/>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甲方：(章)</w:t>
            </w:r>
          </w:p>
        </w:tc>
        <w:tc>
          <w:tcPr>
            <w:tcW w:w="4120" w:type="dxa"/>
          </w:tcPr>
          <w:p w14:paraId="2B87C939">
            <w:pPr>
              <w:autoSpaceDE w:val="0"/>
              <w:autoSpaceDN w:val="0"/>
              <w:adjustRightInd w:val="0"/>
              <w:snapToGrid w:val="0"/>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乙方：(章)</w:t>
            </w:r>
          </w:p>
        </w:tc>
      </w:tr>
      <w:tr w14:paraId="248A573F">
        <w:tblPrEx>
          <w:tblCellMar>
            <w:top w:w="0" w:type="dxa"/>
            <w:left w:w="108" w:type="dxa"/>
            <w:bottom w:w="0" w:type="dxa"/>
            <w:right w:w="108" w:type="dxa"/>
          </w:tblCellMar>
        </w:tblPrEx>
        <w:trPr>
          <w:trHeight w:val="1134" w:hRule="atLeast"/>
        </w:trPr>
        <w:tc>
          <w:tcPr>
            <w:tcW w:w="4103" w:type="dxa"/>
          </w:tcPr>
          <w:p w14:paraId="53785F4F">
            <w:pPr>
              <w:autoSpaceDE w:val="0"/>
              <w:autoSpaceDN w:val="0"/>
              <w:adjustRightInd w:val="0"/>
              <w:snapToGrid w:val="0"/>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法定代表人或</w:t>
            </w:r>
          </w:p>
          <w:p w14:paraId="1E09196A">
            <w:pPr>
              <w:autoSpaceDE w:val="0"/>
              <w:autoSpaceDN w:val="0"/>
              <w:adjustRightInd w:val="0"/>
              <w:snapToGrid w:val="0"/>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其委托代理人：(签字)</w:t>
            </w:r>
          </w:p>
        </w:tc>
        <w:tc>
          <w:tcPr>
            <w:tcW w:w="4120" w:type="dxa"/>
          </w:tcPr>
          <w:p w14:paraId="65BB894F">
            <w:pPr>
              <w:autoSpaceDE w:val="0"/>
              <w:autoSpaceDN w:val="0"/>
              <w:adjustRightInd w:val="0"/>
              <w:snapToGrid w:val="0"/>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法定代表人或</w:t>
            </w:r>
          </w:p>
          <w:p w14:paraId="0F39A582">
            <w:pPr>
              <w:autoSpaceDE w:val="0"/>
              <w:autoSpaceDN w:val="0"/>
              <w:adjustRightInd w:val="0"/>
              <w:snapToGrid w:val="0"/>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其委托代理人：(签字)</w:t>
            </w:r>
          </w:p>
        </w:tc>
      </w:tr>
      <w:tr w14:paraId="260BE694">
        <w:tblPrEx>
          <w:tblCellMar>
            <w:top w:w="0" w:type="dxa"/>
            <w:left w:w="108" w:type="dxa"/>
            <w:bottom w:w="0" w:type="dxa"/>
            <w:right w:w="108" w:type="dxa"/>
          </w:tblCellMar>
        </w:tblPrEx>
        <w:trPr>
          <w:trHeight w:val="1134" w:hRule="atLeast"/>
        </w:trPr>
        <w:tc>
          <w:tcPr>
            <w:tcW w:w="4103" w:type="dxa"/>
            <w:vAlign w:val="bottom"/>
          </w:tcPr>
          <w:p w14:paraId="4A7789AA">
            <w:pPr>
              <w:autoSpaceDE w:val="0"/>
              <w:autoSpaceDN w:val="0"/>
              <w:adjustRightInd w:val="0"/>
              <w:snapToGrid w:val="0"/>
              <w:spacing w:line="288" w:lineRule="auto"/>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  日</w:t>
            </w:r>
          </w:p>
        </w:tc>
        <w:tc>
          <w:tcPr>
            <w:tcW w:w="4120" w:type="dxa"/>
            <w:vAlign w:val="bottom"/>
          </w:tcPr>
          <w:p w14:paraId="0518F58B">
            <w:pPr>
              <w:autoSpaceDE w:val="0"/>
              <w:autoSpaceDN w:val="0"/>
              <w:adjustRightInd w:val="0"/>
              <w:snapToGrid w:val="0"/>
              <w:spacing w:line="288" w:lineRule="auto"/>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  日</w:t>
            </w:r>
          </w:p>
        </w:tc>
      </w:tr>
    </w:tbl>
    <w:p w14:paraId="5A2B4D0E">
      <w:pPr>
        <w:pStyle w:val="9"/>
        <w:snapToGrid w:val="0"/>
        <w:spacing w:before="120" w:after="120"/>
        <w:rPr>
          <w:rFonts w:hint="eastAsia" w:ascii="宋体" w:hAnsi="宋体" w:eastAsia="宋体" w:cs="宋体"/>
          <w:sz w:val="24"/>
          <w:szCs w:val="24"/>
        </w:rPr>
      </w:pPr>
    </w:p>
    <w:p w14:paraId="7AE4A73A">
      <w:pPr>
        <w:pStyle w:val="9"/>
        <w:snapToGrid w:val="0"/>
        <w:spacing w:before="120" w:after="120"/>
        <w:rPr>
          <w:rFonts w:hint="eastAsia" w:ascii="宋体" w:hAnsi="宋体" w:eastAsia="宋体" w:cs="宋体"/>
          <w:sz w:val="24"/>
          <w:szCs w:val="24"/>
        </w:rPr>
      </w:pPr>
    </w:p>
    <w:p w14:paraId="653F2CF8">
      <w:pPr>
        <w:pStyle w:val="8"/>
        <w:rPr>
          <w:rStyle w:val="33"/>
          <w:rFonts w:hint="eastAsia" w:ascii="宋体" w:hAnsi="宋体" w:eastAsia="宋体" w:cs="宋体"/>
          <w:sz w:val="24"/>
          <w:szCs w:val="24"/>
        </w:rPr>
      </w:pPr>
    </w:p>
    <w:p w14:paraId="68D3F366">
      <w:pPr>
        <w:widowControl/>
        <w:jc w:val="left"/>
        <w:rPr>
          <w:rFonts w:hint="eastAsia" w:ascii="宋体" w:hAnsi="宋体" w:eastAsia="宋体" w:cs="宋体"/>
          <w:b/>
          <w:bCs/>
          <w:sz w:val="24"/>
          <w:szCs w:val="24"/>
        </w:rPr>
      </w:pPr>
      <w:r>
        <w:rPr>
          <w:rFonts w:hint="eastAsia" w:ascii="宋体" w:hAnsi="宋体" w:eastAsia="宋体" w:cs="宋体"/>
          <w:b/>
          <w:bCs/>
          <w:sz w:val="24"/>
          <w:szCs w:val="24"/>
        </w:rPr>
        <w:br w:type="page"/>
      </w:r>
    </w:p>
    <w:p w14:paraId="1CE6C6C8">
      <w:pPr>
        <w:keepNext w:val="0"/>
        <w:keepLines w:val="0"/>
        <w:pageBreakBefore w:val="0"/>
        <w:widowControl/>
        <w:spacing w:line="500" w:lineRule="exact"/>
        <w:jc w:val="center"/>
        <w:rPr>
          <w:rFonts w:hint="eastAsia" w:ascii="方正小标宋_GBK" w:hAnsi="方正小标宋_GBK" w:eastAsia="方正小标宋_GBK" w:cs="方正小标宋_GBK"/>
          <w:b w:val="0"/>
          <w:bCs/>
          <w:color w:val="auto"/>
          <w:sz w:val="36"/>
          <w:szCs w:val="36"/>
          <w:highlight w:val="none"/>
        </w:rPr>
      </w:pPr>
      <w:r>
        <w:rPr>
          <w:rFonts w:hint="eastAsia" w:ascii="方正小标宋_GBK" w:hAnsi="方正小标宋_GBK" w:eastAsia="方正小标宋_GBK" w:cs="方正小标宋_GBK"/>
          <w:b w:val="0"/>
          <w:bCs/>
          <w:color w:val="auto"/>
          <w:sz w:val="36"/>
          <w:szCs w:val="36"/>
          <w:highlight w:val="none"/>
        </w:rPr>
        <w:t>管理考核办法</w:t>
      </w:r>
    </w:p>
    <w:p w14:paraId="645F61F5">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进一步提升我区城市管理水平，促进我区市容秩序管理全面走向市场化规范化、制度化、常态化，结合我区实际，制定本办法。考核坚持问题导向和公平、公正、公开原则，坚持责、权、利相统一原则，坚持过程与结果并重原则，坚持奖惩并举原则。</w:t>
      </w:r>
    </w:p>
    <w:p w14:paraId="0BBD5FA7">
      <w:pPr>
        <w:pStyle w:val="32"/>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60" w:lineRule="auto"/>
        <w:ind w:left="0" w:right="0" w:firstLine="64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一、组织实施</w:t>
      </w:r>
    </w:p>
    <w:p w14:paraId="118C1186">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市容秩序外包服务单位的考核由区城管局城管执法中队组织实施。同时接受区城管局督查协调科抽查。</w:t>
      </w:r>
    </w:p>
    <w:p w14:paraId="73AE1EE9">
      <w:pPr>
        <w:pStyle w:val="32"/>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60" w:lineRule="auto"/>
        <w:ind w:left="0" w:right="0" w:firstLine="64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二、考核方式 </w:t>
      </w:r>
    </w:p>
    <w:p w14:paraId="2100F0BB">
      <w:pPr>
        <w:pStyle w:val="19"/>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考核方式为日考核、周汇总、月打分，按当月实际扣分值计算，分值不记上限，每1分值扣管理费20元。由区城管局职能科室采取日常检查、随机抽查、跟踪督查的办法进行。每日定期对辖区范围内的市容秩序情况进行全面检查。同时，不定期进行随机抽查。对群众来信来访反映的市容秩序问题和网络舆情反映的热点难点问题，进行跟踪督查。</w:t>
      </w:r>
    </w:p>
    <w:p w14:paraId="4E30C0CB">
      <w:pPr>
        <w:pStyle w:val="32"/>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60" w:lineRule="auto"/>
        <w:ind w:left="0" w:right="0" w:firstLine="64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cs="宋体"/>
          <w:i w:val="0"/>
          <w:iCs w:val="0"/>
          <w:caps w:val="0"/>
          <w:color w:val="auto"/>
          <w:spacing w:val="0"/>
          <w:sz w:val="24"/>
          <w:szCs w:val="24"/>
          <w:highlight w:val="none"/>
          <w:shd w:val="clear" w:color="auto" w:fill="FFFFFF"/>
          <w:lang w:val="en-US" w:eastAsia="zh-CN"/>
        </w:rPr>
        <w:t>三</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i w:val="0"/>
          <w:iCs w:val="0"/>
          <w:caps w:val="0"/>
          <w:color w:val="auto"/>
          <w:spacing w:val="0"/>
          <w:sz w:val="24"/>
          <w:szCs w:val="24"/>
          <w:highlight w:val="none"/>
          <w:shd w:val="clear" w:color="auto" w:fill="FFFFFF"/>
        </w:rPr>
        <w:t>考核</w:t>
      </w:r>
      <w:r>
        <w:rPr>
          <w:rFonts w:hint="eastAsia" w:ascii="宋体" w:hAnsi="宋体" w:eastAsia="宋体" w:cs="宋体"/>
          <w:i w:val="0"/>
          <w:iCs w:val="0"/>
          <w:caps w:val="0"/>
          <w:color w:val="auto"/>
          <w:spacing w:val="0"/>
          <w:sz w:val="24"/>
          <w:szCs w:val="24"/>
          <w:highlight w:val="none"/>
          <w:shd w:val="clear" w:color="auto" w:fill="FFFFFF"/>
          <w:lang w:val="en-US" w:eastAsia="zh-CN"/>
        </w:rPr>
        <w:t>内容</w:t>
      </w:r>
    </w:p>
    <w:p w14:paraId="5CB9BE38">
      <w:pPr>
        <w:pStyle w:val="32"/>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60" w:lineRule="auto"/>
        <w:ind w:left="0" w:right="0" w:firstLine="64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及时发现、劝阻出店经营、占道经营、建章占道、乱泼污水、乱倒垃圾、乱披乱挂、乱堆乱放、乱搭乱建等影响市容环境卫生的行为</w:t>
      </w:r>
      <w:r>
        <w:rPr>
          <w:rFonts w:hint="eastAsia" w:ascii="宋体" w:hAnsi="宋体" w:eastAsia="宋体" w:cs="宋体"/>
          <w:color w:val="auto"/>
          <w:sz w:val="24"/>
          <w:szCs w:val="24"/>
          <w:highlight w:val="none"/>
          <w:lang w:eastAsia="zh-CN"/>
        </w:rPr>
        <w:t>。</w:t>
      </w:r>
    </w:p>
    <w:p w14:paraId="27086BAF">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及时劝阻、引导流动商贩到指定的疏导点按时规范摆放或入店、入场经营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及时劝导放心早餐规范经营、按时收摊。</w:t>
      </w:r>
    </w:p>
    <w:p w14:paraId="6816C733">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3、对未经批准擅自设置门头店招、户外广告、落地灯箱</w:t>
      </w:r>
      <w:r>
        <w:rPr>
          <w:rFonts w:hint="eastAsia" w:ascii="宋体" w:hAnsi="宋体" w:eastAsia="宋体" w:cs="宋体"/>
          <w:color w:val="auto"/>
          <w:sz w:val="24"/>
          <w:szCs w:val="24"/>
          <w:highlight w:val="none"/>
          <w:lang w:val="en-US" w:eastAsia="zh-CN"/>
        </w:rPr>
        <w:t>的行为及时劝导；</w:t>
      </w:r>
      <w:r>
        <w:rPr>
          <w:rFonts w:hint="eastAsia" w:ascii="宋体" w:hAnsi="宋体" w:eastAsia="宋体" w:cs="宋体"/>
          <w:color w:val="auto"/>
          <w:sz w:val="24"/>
          <w:szCs w:val="24"/>
          <w:highlight w:val="none"/>
        </w:rPr>
        <w:t>沿街派发商业性宣传品、户外走秀 使用高音喇叭叫卖以及从事促销、展览、咨询等活动劝阻。</w:t>
      </w:r>
    </w:p>
    <w:p w14:paraId="66D7D927">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4、对不按规定占用盲道、人行道的机动车、非机动车乱停放行为及时进行劝阻，引导车主规范停车，做到集中定点有序停放。</w:t>
      </w:r>
    </w:p>
    <w:p w14:paraId="336BC914">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对可视范围内的“牛皮癣”(包括建筑物、构筑物、地面、设施等表面张贴、刻画、涂写的非法广告及宣传品、通讯号码以及其所产生的污垢，各种非法张贴在公共信息广告张贴栏以外的纸质或胶纸等广告)加强巡查。</w:t>
      </w:r>
    </w:p>
    <w:p w14:paraId="48557A88">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6、对交通设施、道路路面、路灯设施、排(污)水设施、花坛、绿地、树木损坏等行为进行劝阻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并上报有关职能部门。</w:t>
      </w:r>
    </w:p>
    <w:p w14:paraId="1A2E5E0F">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对乱倒生产、生活垃圾和建筑垃圾渣土进行劝阻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并上报有关职能部门。</w:t>
      </w:r>
    </w:p>
    <w:p w14:paraId="0C6089E9">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8、对从事卜卦、算命、赌博、乞讨、卖艺等违法活动进行劝阻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并上报有关职能部门。</w:t>
      </w:r>
    </w:p>
    <w:p w14:paraId="53238DF1">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对擅自从事开挖道路、建筑物外部装修装饰、增设或者调整公共设施、乱拉乱接线等行为进行制止</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并上报有关职能部门。</w:t>
      </w:r>
    </w:p>
    <w:p w14:paraId="2CF3AB47">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10、完成甲方交付的其它管理任务。</w:t>
      </w:r>
    </w:p>
    <w:p w14:paraId="7208563A">
      <w:pPr>
        <w:keepNext w:val="0"/>
        <w:keepLines w:val="0"/>
        <w:pageBreakBefore w:val="0"/>
        <w:widowControl w:val="0"/>
        <w:spacing w:line="360" w:lineRule="auto"/>
        <w:ind w:firstLine="480"/>
        <w:jc w:val="left"/>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cs="宋体"/>
          <w:i w:val="0"/>
          <w:iCs w:val="0"/>
          <w:caps w:val="0"/>
          <w:color w:val="auto"/>
          <w:spacing w:val="0"/>
          <w:sz w:val="24"/>
          <w:szCs w:val="24"/>
          <w:highlight w:val="none"/>
          <w:shd w:val="clear" w:color="auto" w:fill="FFFFFF"/>
          <w:lang w:val="en-US" w:eastAsia="zh-CN" w:bidi="ar"/>
        </w:rPr>
        <w:t>四</w:t>
      </w:r>
      <w:r>
        <w:rPr>
          <w:rFonts w:hint="eastAsia" w:ascii="宋体" w:hAnsi="宋体" w:eastAsia="宋体" w:cs="宋体"/>
          <w:i w:val="0"/>
          <w:iCs w:val="0"/>
          <w:caps w:val="0"/>
          <w:color w:val="auto"/>
          <w:spacing w:val="0"/>
          <w:sz w:val="24"/>
          <w:szCs w:val="24"/>
          <w:highlight w:val="none"/>
          <w:shd w:val="clear" w:color="auto" w:fill="FFFFFF"/>
          <w:lang w:val="en-US" w:eastAsia="zh-CN" w:bidi="ar"/>
        </w:rPr>
        <w:t>、</w:t>
      </w:r>
      <w:r>
        <w:rPr>
          <w:rFonts w:hint="eastAsia" w:ascii="宋体" w:hAnsi="宋体" w:eastAsia="宋体" w:cs="宋体"/>
          <w:i w:val="0"/>
          <w:iCs w:val="0"/>
          <w:caps w:val="0"/>
          <w:color w:val="auto"/>
          <w:spacing w:val="0"/>
          <w:sz w:val="24"/>
          <w:szCs w:val="24"/>
          <w:highlight w:val="none"/>
          <w:shd w:val="clear" w:color="auto" w:fill="FFFFFF"/>
        </w:rPr>
        <w:t>考核</w:t>
      </w:r>
      <w:r>
        <w:rPr>
          <w:rFonts w:hint="eastAsia" w:ascii="宋体" w:hAnsi="宋体" w:eastAsia="宋体" w:cs="宋体"/>
          <w:i w:val="0"/>
          <w:iCs w:val="0"/>
          <w:caps w:val="0"/>
          <w:color w:val="auto"/>
          <w:spacing w:val="0"/>
          <w:sz w:val="24"/>
          <w:szCs w:val="24"/>
          <w:highlight w:val="none"/>
          <w:shd w:val="clear" w:color="auto" w:fill="FFFFFF"/>
          <w:lang w:val="en-US" w:eastAsia="zh-CN"/>
        </w:rPr>
        <w:t>要求</w:t>
      </w:r>
      <w:r>
        <w:rPr>
          <w:rFonts w:hint="eastAsia" w:ascii="宋体" w:hAnsi="宋体" w:eastAsia="宋体" w:cs="宋体"/>
          <w:i w:val="0"/>
          <w:iCs w:val="0"/>
          <w:caps w:val="0"/>
          <w:color w:val="auto"/>
          <w:spacing w:val="0"/>
          <w:sz w:val="24"/>
          <w:szCs w:val="24"/>
          <w:highlight w:val="none"/>
          <w:shd w:val="clear" w:color="auto" w:fill="FFFFFF"/>
        </w:rPr>
        <w:t>和考评细则</w:t>
      </w:r>
    </w:p>
    <w:tbl>
      <w:tblPr>
        <w:tblStyle w:val="16"/>
        <w:tblW w:w="8315" w:type="dxa"/>
        <w:tblInd w:w="-15" w:type="dxa"/>
        <w:tblLayout w:type="fixed"/>
        <w:tblCellMar>
          <w:top w:w="15" w:type="dxa"/>
          <w:left w:w="15" w:type="dxa"/>
          <w:bottom w:w="15" w:type="dxa"/>
          <w:right w:w="15" w:type="dxa"/>
        </w:tblCellMar>
      </w:tblPr>
      <w:tblGrid>
        <w:gridCol w:w="843"/>
        <w:gridCol w:w="2863"/>
        <w:gridCol w:w="1295"/>
        <w:gridCol w:w="1228"/>
        <w:gridCol w:w="2086"/>
      </w:tblGrid>
      <w:tr w14:paraId="16D9F70E">
        <w:tblPrEx>
          <w:tblCellMar>
            <w:top w:w="15" w:type="dxa"/>
            <w:left w:w="15" w:type="dxa"/>
            <w:bottom w:w="15" w:type="dxa"/>
            <w:right w:w="15" w:type="dxa"/>
          </w:tblCellMar>
        </w:tblPrEx>
        <w:trPr>
          <w:trHeight w:val="208" w:hRule="atLeast"/>
        </w:trPr>
        <w:tc>
          <w:tcPr>
            <w:tcW w:w="8315" w:type="dxa"/>
            <w:gridSpan w:val="5"/>
            <w:tcBorders>
              <w:top w:val="nil"/>
              <w:left w:val="nil"/>
              <w:bottom w:val="nil"/>
              <w:right w:val="nil"/>
            </w:tcBorders>
            <w:noWrap w:val="0"/>
            <w:vAlign w:val="center"/>
          </w:tcPr>
          <w:p w14:paraId="1B41A234">
            <w:pPr>
              <w:keepNext w:val="0"/>
              <w:keepLines w:val="0"/>
              <w:pageBreakBefore w:val="0"/>
              <w:widowControl w:val="0"/>
              <w:numPr>
                <w:ilvl w:val="0"/>
                <w:numId w:val="0"/>
              </w:numPr>
              <w:spacing w:before="157"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工作内容考核扣分表</w:t>
            </w:r>
          </w:p>
        </w:tc>
      </w:tr>
      <w:tr w14:paraId="06D62EE2">
        <w:tblPrEx>
          <w:tblCellMar>
            <w:top w:w="15" w:type="dxa"/>
            <w:left w:w="15" w:type="dxa"/>
            <w:bottom w:w="15" w:type="dxa"/>
            <w:right w:w="15" w:type="dxa"/>
          </w:tblCellMar>
        </w:tblPrEx>
        <w:trPr>
          <w:trHeight w:val="530" w:hRule="atLeast"/>
        </w:trPr>
        <w:tc>
          <w:tcPr>
            <w:tcW w:w="843" w:type="dxa"/>
            <w:tcBorders>
              <w:top w:val="single" w:color="000000" w:sz="4" w:space="0"/>
              <w:left w:val="single" w:color="000000" w:sz="4" w:space="0"/>
              <w:bottom w:val="single" w:color="000000" w:sz="4" w:space="0"/>
              <w:right w:val="single" w:color="000000" w:sz="4" w:space="0"/>
            </w:tcBorders>
            <w:noWrap w:val="0"/>
            <w:vAlign w:val="center"/>
          </w:tcPr>
          <w:p w14:paraId="2B9BD6DB">
            <w:pPr>
              <w:keepNext w:val="0"/>
              <w:keepLines w:val="0"/>
              <w:pageBreakBefore w:val="0"/>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2863" w:type="dxa"/>
            <w:tcBorders>
              <w:top w:val="single" w:color="000000" w:sz="4" w:space="0"/>
              <w:left w:val="single" w:color="000000" w:sz="4" w:space="0"/>
              <w:bottom w:val="single" w:color="000000" w:sz="4" w:space="0"/>
              <w:right w:val="single" w:color="000000" w:sz="4" w:space="0"/>
            </w:tcBorders>
            <w:noWrap w:val="0"/>
            <w:vAlign w:val="center"/>
          </w:tcPr>
          <w:p w14:paraId="1F108D4E">
            <w:pPr>
              <w:keepNext w:val="0"/>
              <w:keepLines w:val="0"/>
              <w:pageBreakBefore w:val="0"/>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扣分项目</w:t>
            </w:r>
          </w:p>
        </w:tc>
        <w:tc>
          <w:tcPr>
            <w:tcW w:w="1295" w:type="dxa"/>
            <w:tcBorders>
              <w:top w:val="single" w:color="000000" w:sz="4" w:space="0"/>
              <w:left w:val="single" w:color="000000" w:sz="4" w:space="0"/>
              <w:bottom w:val="single" w:color="000000" w:sz="4" w:space="0"/>
              <w:right w:val="single" w:color="000000" w:sz="4" w:space="0"/>
            </w:tcBorders>
            <w:noWrap w:val="0"/>
            <w:vAlign w:val="center"/>
          </w:tcPr>
          <w:p w14:paraId="08EB37FB">
            <w:pPr>
              <w:keepNext w:val="0"/>
              <w:keepLines w:val="0"/>
              <w:pageBreakBefore w:val="0"/>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 </w:t>
            </w:r>
          </w:p>
        </w:tc>
        <w:tc>
          <w:tcPr>
            <w:tcW w:w="1228" w:type="dxa"/>
            <w:tcBorders>
              <w:top w:val="single" w:color="000000" w:sz="4" w:space="0"/>
              <w:left w:val="single" w:color="000000" w:sz="4" w:space="0"/>
              <w:bottom w:val="single" w:color="000000" w:sz="4" w:space="0"/>
              <w:right w:val="single" w:color="000000" w:sz="4" w:space="0"/>
            </w:tcBorders>
            <w:noWrap w:val="0"/>
            <w:vAlign w:val="center"/>
          </w:tcPr>
          <w:p w14:paraId="45633B9C">
            <w:pPr>
              <w:keepNext w:val="0"/>
              <w:keepLines w:val="0"/>
              <w:pageBreakBefore w:val="0"/>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对应</w:t>
            </w:r>
          </w:p>
          <w:p w14:paraId="1D83A18A">
            <w:pPr>
              <w:keepNext w:val="0"/>
              <w:keepLines w:val="0"/>
              <w:pageBreakBefore w:val="0"/>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分值</w:t>
            </w:r>
          </w:p>
        </w:tc>
        <w:tc>
          <w:tcPr>
            <w:tcW w:w="2086" w:type="dxa"/>
            <w:tcBorders>
              <w:top w:val="single" w:color="000000" w:sz="4" w:space="0"/>
              <w:left w:val="single" w:color="000000" w:sz="4" w:space="0"/>
              <w:bottom w:val="single" w:color="000000" w:sz="4" w:space="0"/>
              <w:right w:val="single" w:color="000000" w:sz="4" w:space="0"/>
            </w:tcBorders>
            <w:noWrap w:val="0"/>
            <w:vAlign w:val="center"/>
          </w:tcPr>
          <w:p w14:paraId="48A759B4">
            <w:pPr>
              <w:keepNext w:val="0"/>
              <w:keepLines w:val="0"/>
              <w:pageBreakBefore w:val="0"/>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tc>
      </w:tr>
      <w:tr w14:paraId="145C6F1D">
        <w:tblPrEx>
          <w:tblCellMar>
            <w:top w:w="15" w:type="dxa"/>
            <w:left w:w="15" w:type="dxa"/>
            <w:bottom w:w="15" w:type="dxa"/>
            <w:right w:w="15" w:type="dxa"/>
          </w:tblCellMar>
        </w:tblPrEx>
        <w:trPr>
          <w:trHeight w:val="600" w:hRule="atLeast"/>
        </w:trPr>
        <w:tc>
          <w:tcPr>
            <w:tcW w:w="843" w:type="dxa"/>
            <w:tcBorders>
              <w:top w:val="single" w:color="000000" w:sz="4" w:space="0"/>
              <w:left w:val="single" w:color="000000" w:sz="4" w:space="0"/>
              <w:bottom w:val="single" w:color="000000" w:sz="4" w:space="0"/>
              <w:right w:val="single" w:color="000000" w:sz="4" w:space="0"/>
            </w:tcBorders>
            <w:noWrap w:val="0"/>
            <w:vAlign w:val="center"/>
          </w:tcPr>
          <w:p w14:paraId="21C2E201">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863" w:type="dxa"/>
            <w:tcBorders>
              <w:top w:val="single" w:color="000000" w:sz="4" w:space="0"/>
              <w:left w:val="single" w:color="000000" w:sz="4" w:space="0"/>
              <w:bottom w:val="single" w:color="000000" w:sz="4" w:space="0"/>
              <w:right w:val="single" w:color="000000" w:sz="4" w:space="0"/>
            </w:tcBorders>
            <w:noWrap w:val="0"/>
            <w:vAlign w:val="center"/>
          </w:tcPr>
          <w:p w14:paraId="0AC9532A">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流动摊点乱摆乱设（含烧烤摊点）</w:t>
            </w:r>
          </w:p>
        </w:tc>
        <w:tc>
          <w:tcPr>
            <w:tcW w:w="1295" w:type="dxa"/>
            <w:tcBorders>
              <w:top w:val="single" w:color="000000" w:sz="4" w:space="0"/>
              <w:left w:val="single" w:color="000000" w:sz="4" w:space="0"/>
              <w:bottom w:val="single" w:color="000000" w:sz="4" w:space="0"/>
              <w:right w:val="single" w:color="000000" w:sz="4" w:space="0"/>
            </w:tcBorders>
            <w:noWrap w:val="0"/>
            <w:vAlign w:val="center"/>
          </w:tcPr>
          <w:p w14:paraId="2066F8DA">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处</w:t>
            </w:r>
          </w:p>
        </w:tc>
        <w:tc>
          <w:tcPr>
            <w:tcW w:w="1228" w:type="dxa"/>
            <w:tcBorders>
              <w:top w:val="single" w:color="000000" w:sz="4" w:space="0"/>
              <w:left w:val="single" w:color="000000" w:sz="4" w:space="0"/>
              <w:bottom w:val="single" w:color="000000" w:sz="4" w:space="0"/>
              <w:right w:val="single" w:color="000000" w:sz="4" w:space="0"/>
            </w:tcBorders>
            <w:noWrap w:val="0"/>
            <w:vAlign w:val="center"/>
          </w:tcPr>
          <w:p w14:paraId="40466B5F">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86" w:type="dxa"/>
            <w:tcBorders>
              <w:top w:val="single" w:color="000000" w:sz="4" w:space="0"/>
              <w:left w:val="single" w:color="000000" w:sz="4" w:space="0"/>
              <w:bottom w:val="single" w:color="000000" w:sz="4" w:space="0"/>
              <w:right w:val="single" w:color="000000" w:sz="4" w:space="0"/>
            </w:tcBorders>
            <w:noWrap w:val="0"/>
            <w:vAlign w:val="center"/>
          </w:tcPr>
          <w:p w14:paraId="37B1E776">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不及时</w:t>
            </w:r>
            <w:r>
              <w:rPr>
                <w:rFonts w:hint="eastAsia" w:ascii="宋体" w:hAnsi="宋体" w:eastAsia="宋体" w:cs="宋体"/>
                <w:color w:val="auto"/>
                <w:sz w:val="24"/>
                <w:szCs w:val="24"/>
                <w:highlight w:val="none"/>
                <w:lang w:val="en-US" w:eastAsia="zh-CN"/>
              </w:rPr>
              <w:t>发现、劝阻</w:t>
            </w:r>
          </w:p>
        </w:tc>
      </w:tr>
      <w:tr w14:paraId="181A4223">
        <w:tblPrEx>
          <w:tblCellMar>
            <w:top w:w="15" w:type="dxa"/>
            <w:left w:w="15" w:type="dxa"/>
            <w:bottom w:w="15" w:type="dxa"/>
            <w:right w:w="15" w:type="dxa"/>
          </w:tblCellMar>
        </w:tblPrEx>
        <w:trPr>
          <w:trHeight w:val="600" w:hRule="atLeast"/>
        </w:trPr>
        <w:tc>
          <w:tcPr>
            <w:tcW w:w="843" w:type="dxa"/>
            <w:tcBorders>
              <w:top w:val="single" w:color="000000" w:sz="4" w:space="0"/>
              <w:left w:val="single" w:color="000000" w:sz="4" w:space="0"/>
              <w:bottom w:val="single" w:color="000000" w:sz="4" w:space="0"/>
              <w:right w:val="single" w:color="000000" w:sz="4" w:space="0"/>
            </w:tcBorders>
            <w:noWrap w:val="0"/>
            <w:vAlign w:val="center"/>
          </w:tcPr>
          <w:p w14:paraId="054FCCCC">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863" w:type="dxa"/>
            <w:tcBorders>
              <w:top w:val="single" w:color="000000" w:sz="4" w:space="0"/>
              <w:left w:val="single" w:color="000000" w:sz="4" w:space="0"/>
              <w:bottom w:val="single" w:color="000000" w:sz="4" w:space="0"/>
              <w:right w:val="single" w:color="000000" w:sz="4" w:space="0"/>
            </w:tcBorders>
            <w:noWrap w:val="0"/>
            <w:vAlign w:val="center"/>
          </w:tcPr>
          <w:p w14:paraId="0E3FAD00">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出店经营</w:t>
            </w:r>
          </w:p>
        </w:tc>
        <w:tc>
          <w:tcPr>
            <w:tcW w:w="1295" w:type="dxa"/>
            <w:tcBorders>
              <w:top w:val="single" w:color="000000" w:sz="4" w:space="0"/>
              <w:left w:val="single" w:color="000000" w:sz="4" w:space="0"/>
              <w:bottom w:val="single" w:color="000000" w:sz="4" w:space="0"/>
              <w:right w:val="single" w:color="000000" w:sz="4" w:space="0"/>
            </w:tcBorders>
            <w:noWrap w:val="0"/>
            <w:vAlign w:val="center"/>
          </w:tcPr>
          <w:p w14:paraId="5F60DD54">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处</w:t>
            </w:r>
          </w:p>
        </w:tc>
        <w:tc>
          <w:tcPr>
            <w:tcW w:w="1228" w:type="dxa"/>
            <w:tcBorders>
              <w:top w:val="single" w:color="000000" w:sz="4" w:space="0"/>
              <w:left w:val="single" w:color="000000" w:sz="4" w:space="0"/>
              <w:bottom w:val="single" w:color="000000" w:sz="4" w:space="0"/>
              <w:right w:val="single" w:color="000000" w:sz="4" w:space="0"/>
            </w:tcBorders>
            <w:noWrap w:val="0"/>
            <w:vAlign w:val="center"/>
          </w:tcPr>
          <w:p w14:paraId="595A5710">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86" w:type="dxa"/>
            <w:tcBorders>
              <w:top w:val="single" w:color="000000" w:sz="4" w:space="0"/>
              <w:left w:val="single" w:color="000000" w:sz="4" w:space="0"/>
              <w:bottom w:val="single" w:color="000000" w:sz="4" w:space="0"/>
              <w:right w:val="single" w:color="000000" w:sz="4" w:space="0"/>
            </w:tcBorders>
            <w:noWrap w:val="0"/>
            <w:vAlign w:val="center"/>
          </w:tcPr>
          <w:p w14:paraId="5D231D96">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不及时</w:t>
            </w:r>
            <w:r>
              <w:rPr>
                <w:rFonts w:hint="eastAsia" w:ascii="宋体" w:hAnsi="宋体" w:eastAsia="宋体" w:cs="宋体"/>
                <w:color w:val="auto"/>
                <w:sz w:val="24"/>
                <w:szCs w:val="24"/>
                <w:highlight w:val="none"/>
                <w:lang w:val="en-US" w:eastAsia="zh-CN"/>
              </w:rPr>
              <w:t>发现、劝阻</w:t>
            </w:r>
          </w:p>
        </w:tc>
      </w:tr>
      <w:tr w14:paraId="7C8D823B">
        <w:tblPrEx>
          <w:tblCellMar>
            <w:top w:w="15" w:type="dxa"/>
            <w:left w:w="15" w:type="dxa"/>
            <w:bottom w:w="15" w:type="dxa"/>
            <w:right w:w="15" w:type="dxa"/>
          </w:tblCellMar>
        </w:tblPrEx>
        <w:trPr>
          <w:trHeight w:val="600" w:hRule="atLeast"/>
        </w:trPr>
        <w:tc>
          <w:tcPr>
            <w:tcW w:w="843" w:type="dxa"/>
            <w:tcBorders>
              <w:top w:val="single" w:color="000000" w:sz="4" w:space="0"/>
              <w:left w:val="single" w:color="000000" w:sz="4" w:space="0"/>
              <w:bottom w:val="single" w:color="000000" w:sz="4" w:space="0"/>
              <w:right w:val="single" w:color="000000" w:sz="4" w:space="0"/>
            </w:tcBorders>
            <w:noWrap w:val="0"/>
            <w:vAlign w:val="center"/>
          </w:tcPr>
          <w:p w14:paraId="3687BB69">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863" w:type="dxa"/>
            <w:tcBorders>
              <w:top w:val="single" w:color="000000" w:sz="4" w:space="0"/>
              <w:left w:val="single" w:color="000000" w:sz="4" w:space="0"/>
              <w:bottom w:val="single" w:color="000000" w:sz="4" w:space="0"/>
              <w:right w:val="single" w:color="000000" w:sz="4" w:space="0"/>
            </w:tcBorders>
            <w:noWrap w:val="0"/>
            <w:vAlign w:val="center"/>
          </w:tcPr>
          <w:p w14:paraId="7A6FAEAA">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车辆停放杂乱</w:t>
            </w:r>
          </w:p>
        </w:tc>
        <w:tc>
          <w:tcPr>
            <w:tcW w:w="1295" w:type="dxa"/>
            <w:tcBorders>
              <w:top w:val="single" w:color="000000" w:sz="4" w:space="0"/>
              <w:left w:val="single" w:color="000000" w:sz="4" w:space="0"/>
              <w:bottom w:val="single" w:color="000000" w:sz="4" w:space="0"/>
              <w:right w:val="single" w:color="000000" w:sz="4" w:space="0"/>
            </w:tcBorders>
            <w:noWrap w:val="0"/>
            <w:vAlign w:val="center"/>
          </w:tcPr>
          <w:p w14:paraId="03E6FCFB">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处</w:t>
            </w:r>
          </w:p>
        </w:tc>
        <w:tc>
          <w:tcPr>
            <w:tcW w:w="1228" w:type="dxa"/>
            <w:tcBorders>
              <w:top w:val="single" w:color="000000" w:sz="4" w:space="0"/>
              <w:left w:val="single" w:color="000000" w:sz="4" w:space="0"/>
              <w:bottom w:val="single" w:color="000000" w:sz="4" w:space="0"/>
              <w:right w:val="single" w:color="000000" w:sz="4" w:space="0"/>
            </w:tcBorders>
            <w:noWrap w:val="0"/>
            <w:vAlign w:val="center"/>
          </w:tcPr>
          <w:p w14:paraId="195160CC">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86" w:type="dxa"/>
            <w:tcBorders>
              <w:top w:val="single" w:color="000000" w:sz="4" w:space="0"/>
              <w:left w:val="single" w:color="000000" w:sz="4" w:space="0"/>
              <w:bottom w:val="single" w:color="000000" w:sz="4" w:space="0"/>
              <w:right w:val="single" w:color="000000" w:sz="4" w:space="0"/>
            </w:tcBorders>
            <w:noWrap w:val="0"/>
            <w:vAlign w:val="center"/>
          </w:tcPr>
          <w:p w14:paraId="5FA599EC">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不及时</w:t>
            </w:r>
            <w:r>
              <w:rPr>
                <w:rFonts w:hint="eastAsia" w:ascii="宋体" w:hAnsi="宋体" w:eastAsia="宋体" w:cs="宋体"/>
                <w:color w:val="auto"/>
                <w:sz w:val="24"/>
                <w:szCs w:val="24"/>
                <w:highlight w:val="none"/>
                <w:lang w:val="en-US" w:eastAsia="zh-CN"/>
              </w:rPr>
              <w:t>发现、劝阻</w:t>
            </w:r>
          </w:p>
        </w:tc>
      </w:tr>
      <w:tr w14:paraId="1B309AFC">
        <w:tblPrEx>
          <w:tblCellMar>
            <w:top w:w="15" w:type="dxa"/>
            <w:left w:w="15" w:type="dxa"/>
            <w:bottom w:w="15" w:type="dxa"/>
            <w:right w:w="15" w:type="dxa"/>
          </w:tblCellMar>
        </w:tblPrEx>
        <w:trPr>
          <w:trHeight w:val="600" w:hRule="atLeast"/>
        </w:trPr>
        <w:tc>
          <w:tcPr>
            <w:tcW w:w="843" w:type="dxa"/>
            <w:tcBorders>
              <w:top w:val="single" w:color="000000" w:sz="4" w:space="0"/>
              <w:left w:val="single" w:color="000000" w:sz="4" w:space="0"/>
              <w:bottom w:val="single" w:color="000000" w:sz="4" w:space="0"/>
              <w:right w:val="single" w:color="000000" w:sz="4" w:space="0"/>
            </w:tcBorders>
            <w:noWrap w:val="0"/>
            <w:vAlign w:val="center"/>
          </w:tcPr>
          <w:p w14:paraId="2DDE8EAE">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863" w:type="dxa"/>
            <w:tcBorders>
              <w:top w:val="single" w:color="000000" w:sz="4" w:space="0"/>
              <w:left w:val="single" w:color="000000" w:sz="4" w:space="0"/>
              <w:bottom w:val="single" w:color="000000" w:sz="4" w:space="0"/>
              <w:right w:val="single" w:color="000000" w:sz="4" w:space="0"/>
            </w:tcBorders>
            <w:noWrap w:val="0"/>
            <w:vAlign w:val="center"/>
          </w:tcPr>
          <w:p w14:paraId="65D5F8D3">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店招及广告管理</w:t>
            </w:r>
          </w:p>
        </w:tc>
        <w:tc>
          <w:tcPr>
            <w:tcW w:w="1295" w:type="dxa"/>
            <w:tcBorders>
              <w:top w:val="single" w:color="000000" w:sz="4" w:space="0"/>
              <w:left w:val="single" w:color="000000" w:sz="4" w:space="0"/>
              <w:bottom w:val="single" w:color="000000" w:sz="4" w:space="0"/>
              <w:right w:val="single" w:color="000000" w:sz="4" w:space="0"/>
            </w:tcBorders>
            <w:noWrap w:val="0"/>
            <w:vAlign w:val="center"/>
          </w:tcPr>
          <w:p w14:paraId="51697A1F">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处</w:t>
            </w:r>
          </w:p>
        </w:tc>
        <w:tc>
          <w:tcPr>
            <w:tcW w:w="1228" w:type="dxa"/>
            <w:tcBorders>
              <w:top w:val="single" w:color="000000" w:sz="4" w:space="0"/>
              <w:left w:val="single" w:color="000000" w:sz="4" w:space="0"/>
              <w:bottom w:val="single" w:color="000000" w:sz="4" w:space="0"/>
              <w:right w:val="single" w:color="000000" w:sz="4" w:space="0"/>
            </w:tcBorders>
            <w:noWrap w:val="0"/>
            <w:vAlign w:val="center"/>
          </w:tcPr>
          <w:p w14:paraId="181BD9C7">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86" w:type="dxa"/>
            <w:tcBorders>
              <w:top w:val="single" w:color="000000" w:sz="4" w:space="0"/>
              <w:left w:val="single" w:color="000000" w:sz="4" w:space="0"/>
              <w:bottom w:val="single" w:color="000000" w:sz="4" w:space="0"/>
              <w:right w:val="single" w:color="000000" w:sz="4" w:space="0"/>
            </w:tcBorders>
            <w:noWrap w:val="0"/>
            <w:vAlign w:val="center"/>
          </w:tcPr>
          <w:p w14:paraId="5D324E21">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不及时</w:t>
            </w:r>
            <w:r>
              <w:rPr>
                <w:rFonts w:hint="eastAsia" w:ascii="宋体" w:hAnsi="宋体" w:eastAsia="宋体" w:cs="宋体"/>
                <w:color w:val="auto"/>
                <w:sz w:val="24"/>
                <w:szCs w:val="24"/>
                <w:highlight w:val="none"/>
                <w:lang w:val="en-US" w:eastAsia="zh-CN"/>
              </w:rPr>
              <w:t>发现、劝阻和报告</w:t>
            </w:r>
          </w:p>
        </w:tc>
      </w:tr>
      <w:tr w14:paraId="54A99688">
        <w:tblPrEx>
          <w:tblCellMar>
            <w:top w:w="15" w:type="dxa"/>
            <w:left w:w="15" w:type="dxa"/>
            <w:bottom w:w="15" w:type="dxa"/>
            <w:right w:w="15" w:type="dxa"/>
          </w:tblCellMar>
        </w:tblPrEx>
        <w:trPr>
          <w:trHeight w:val="600" w:hRule="atLeast"/>
        </w:trPr>
        <w:tc>
          <w:tcPr>
            <w:tcW w:w="843" w:type="dxa"/>
            <w:tcBorders>
              <w:top w:val="single" w:color="000000" w:sz="4" w:space="0"/>
              <w:left w:val="single" w:color="000000" w:sz="4" w:space="0"/>
              <w:bottom w:val="single" w:color="000000" w:sz="4" w:space="0"/>
              <w:right w:val="single" w:color="000000" w:sz="4" w:space="0"/>
            </w:tcBorders>
            <w:noWrap w:val="0"/>
            <w:vAlign w:val="center"/>
          </w:tcPr>
          <w:p w14:paraId="236181A1">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863" w:type="dxa"/>
            <w:tcBorders>
              <w:top w:val="single" w:color="000000" w:sz="4" w:space="0"/>
              <w:left w:val="single" w:color="000000" w:sz="4" w:space="0"/>
              <w:bottom w:val="single" w:color="000000" w:sz="4" w:space="0"/>
              <w:right w:val="single" w:color="000000" w:sz="4" w:space="0"/>
            </w:tcBorders>
            <w:noWrap w:val="0"/>
            <w:vAlign w:val="center"/>
          </w:tcPr>
          <w:p w14:paraId="3ABD4B71">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沿街散发小广告</w:t>
            </w:r>
          </w:p>
        </w:tc>
        <w:tc>
          <w:tcPr>
            <w:tcW w:w="1295" w:type="dxa"/>
            <w:tcBorders>
              <w:top w:val="single" w:color="000000" w:sz="4" w:space="0"/>
              <w:left w:val="single" w:color="000000" w:sz="4" w:space="0"/>
              <w:bottom w:val="single" w:color="000000" w:sz="4" w:space="0"/>
              <w:right w:val="single" w:color="000000" w:sz="4" w:space="0"/>
            </w:tcBorders>
            <w:noWrap w:val="0"/>
            <w:vAlign w:val="center"/>
          </w:tcPr>
          <w:p w14:paraId="6D39ECC6">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处</w:t>
            </w:r>
          </w:p>
        </w:tc>
        <w:tc>
          <w:tcPr>
            <w:tcW w:w="1228" w:type="dxa"/>
            <w:tcBorders>
              <w:top w:val="single" w:color="000000" w:sz="4" w:space="0"/>
              <w:left w:val="single" w:color="000000" w:sz="4" w:space="0"/>
              <w:bottom w:val="single" w:color="000000" w:sz="4" w:space="0"/>
              <w:right w:val="single" w:color="000000" w:sz="4" w:space="0"/>
            </w:tcBorders>
            <w:noWrap w:val="0"/>
            <w:vAlign w:val="center"/>
          </w:tcPr>
          <w:p w14:paraId="6B830D50">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86" w:type="dxa"/>
            <w:tcBorders>
              <w:top w:val="single" w:color="000000" w:sz="4" w:space="0"/>
              <w:left w:val="single" w:color="000000" w:sz="4" w:space="0"/>
              <w:bottom w:val="single" w:color="000000" w:sz="4" w:space="0"/>
              <w:right w:val="single" w:color="000000" w:sz="4" w:space="0"/>
            </w:tcBorders>
            <w:noWrap w:val="0"/>
            <w:vAlign w:val="center"/>
          </w:tcPr>
          <w:p w14:paraId="0725564C">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不及时</w:t>
            </w:r>
            <w:r>
              <w:rPr>
                <w:rFonts w:hint="eastAsia" w:ascii="宋体" w:hAnsi="宋体" w:eastAsia="宋体" w:cs="宋体"/>
                <w:color w:val="auto"/>
                <w:sz w:val="24"/>
                <w:szCs w:val="24"/>
                <w:highlight w:val="none"/>
                <w:lang w:val="en-US" w:eastAsia="zh-CN"/>
              </w:rPr>
              <w:t>发现、劝阻和报告</w:t>
            </w:r>
          </w:p>
        </w:tc>
      </w:tr>
      <w:tr w14:paraId="678AEE86">
        <w:tblPrEx>
          <w:tblCellMar>
            <w:top w:w="15" w:type="dxa"/>
            <w:left w:w="15" w:type="dxa"/>
            <w:bottom w:w="15" w:type="dxa"/>
            <w:right w:w="15" w:type="dxa"/>
          </w:tblCellMar>
        </w:tblPrEx>
        <w:trPr>
          <w:trHeight w:val="600" w:hRule="atLeast"/>
        </w:trPr>
        <w:tc>
          <w:tcPr>
            <w:tcW w:w="843" w:type="dxa"/>
            <w:tcBorders>
              <w:top w:val="single" w:color="000000" w:sz="4" w:space="0"/>
              <w:left w:val="single" w:color="000000" w:sz="4" w:space="0"/>
              <w:bottom w:val="single" w:color="000000" w:sz="4" w:space="0"/>
              <w:right w:val="single" w:color="000000" w:sz="4" w:space="0"/>
            </w:tcBorders>
            <w:noWrap w:val="0"/>
            <w:vAlign w:val="center"/>
          </w:tcPr>
          <w:p w14:paraId="1907BCED">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863" w:type="dxa"/>
            <w:tcBorders>
              <w:top w:val="single" w:color="000000" w:sz="4" w:space="0"/>
              <w:left w:val="single" w:color="000000" w:sz="4" w:space="0"/>
              <w:bottom w:val="single" w:color="000000" w:sz="4" w:space="0"/>
              <w:right w:val="single" w:color="000000" w:sz="4" w:space="0"/>
            </w:tcBorders>
            <w:noWrap w:val="0"/>
            <w:vAlign w:val="center"/>
          </w:tcPr>
          <w:p w14:paraId="295E52CA">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城市“牛皮癣”</w:t>
            </w:r>
          </w:p>
        </w:tc>
        <w:tc>
          <w:tcPr>
            <w:tcW w:w="1295" w:type="dxa"/>
            <w:tcBorders>
              <w:top w:val="single" w:color="000000" w:sz="4" w:space="0"/>
              <w:left w:val="single" w:color="000000" w:sz="4" w:space="0"/>
              <w:bottom w:val="single" w:color="000000" w:sz="4" w:space="0"/>
              <w:right w:val="single" w:color="000000" w:sz="4" w:space="0"/>
            </w:tcBorders>
            <w:noWrap w:val="0"/>
            <w:vAlign w:val="center"/>
          </w:tcPr>
          <w:p w14:paraId="1AD69DFC">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处</w:t>
            </w:r>
          </w:p>
        </w:tc>
        <w:tc>
          <w:tcPr>
            <w:tcW w:w="1228" w:type="dxa"/>
            <w:tcBorders>
              <w:top w:val="single" w:color="000000" w:sz="4" w:space="0"/>
              <w:left w:val="single" w:color="000000" w:sz="4" w:space="0"/>
              <w:bottom w:val="single" w:color="000000" w:sz="4" w:space="0"/>
              <w:right w:val="single" w:color="000000" w:sz="4" w:space="0"/>
            </w:tcBorders>
            <w:noWrap w:val="0"/>
            <w:vAlign w:val="center"/>
          </w:tcPr>
          <w:p w14:paraId="71975544">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86" w:type="dxa"/>
            <w:tcBorders>
              <w:top w:val="single" w:color="000000" w:sz="4" w:space="0"/>
              <w:left w:val="single" w:color="000000" w:sz="4" w:space="0"/>
              <w:bottom w:val="single" w:color="000000" w:sz="4" w:space="0"/>
              <w:right w:val="single" w:color="000000" w:sz="4" w:space="0"/>
            </w:tcBorders>
            <w:noWrap w:val="0"/>
            <w:vAlign w:val="center"/>
          </w:tcPr>
          <w:p w14:paraId="57812D9E">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不及时清理</w:t>
            </w:r>
          </w:p>
        </w:tc>
      </w:tr>
      <w:tr w14:paraId="4E5AF973">
        <w:tblPrEx>
          <w:tblCellMar>
            <w:top w:w="15" w:type="dxa"/>
            <w:left w:w="15" w:type="dxa"/>
            <w:bottom w:w="15" w:type="dxa"/>
            <w:right w:w="15" w:type="dxa"/>
          </w:tblCellMar>
        </w:tblPrEx>
        <w:trPr>
          <w:trHeight w:val="600" w:hRule="atLeast"/>
        </w:trPr>
        <w:tc>
          <w:tcPr>
            <w:tcW w:w="843" w:type="dxa"/>
            <w:tcBorders>
              <w:top w:val="single" w:color="000000" w:sz="4" w:space="0"/>
              <w:left w:val="single" w:color="000000" w:sz="4" w:space="0"/>
              <w:bottom w:val="single" w:color="000000" w:sz="4" w:space="0"/>
              <w:right w:val="single" w:color="000000" w:sz="4" w:space="0"/>
            </w:tcBorders>
            <w:noWrap w:val="0"/>
            <w:vAlign w:val="center"/>
          </w:tcPr>
          <w:p w14:paraId="151BE511">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863" w:type="dxa"/>
            <w:tcBorders>
              <w:top w:val="single" w:color="000000" w:sz="4" w:space="0"/>
              <w:left w:val="single" w:color="000000" w:sz="4" w:space="0"/>
              <w:bottom w:val="single" w:color="000000" w:sz="4" w:space="0"/>
              <w:right w:val="single" w:color="000000" w:sz="4" w:space="0"/>
            </w:tcBorders>
            <w:noWrap w:val="0"/>
            <w:vAlign w:val="center"/>
          </w:tcPr>
          <w:p w14:paraId="0E3A3299">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占道修理或冲洗车辆</w:t>
            </w:r>
          </w:p>
        </w:tc>
        <w:tc>
          <w:tcPr>
            <w:tcW w:w="1295" w:type="dxa"/>
            <w:tcBorders>
              <w:top w:val="single" w:color="000000" w:sz="4" w:space="0"/>
              <w:left w:val="single" w:color="000000" w:sz="4" w:space="0"/>
              <w:bottom w:val="single" w:color="000000" w:sz="4" w:space="0"/>
              <w:right w:val="single" w:color="000000" w:sz="4" w:space="0"/>
            </w:tcBorders>
            <w:noWrap w:val="0"/>
            <w:vAlign w:val="center"/>
          </w:tcPr>
          <w:p w14:paraId="753C2727">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处</w:t>
            </w:r>
          </w:p>
        </w:tc>
        <w:tc>
          <w:tcPr>
            <w:tcW w:w="1228" w:type="dxa"/>
            <w:tcBorders>
              <w:top w:val="single" w:color="000000" w:sz="4" w:space="0"/>
              <w:left w:val="single" w:color="000000" w:sz="4" w:space="0"/>
              <w:bottom w:val="single" w:color="000000" w:sz="4" w:space="0"/>
              <w:right w:val="single" w:color="000000" w:sz="4" w:space="0"/>
            </w:tcBorders>
            <w:noWrap w:val="0"/>
            <w:vAlign w:val="center"/>
          </w:tcPr>
          <w:p w14:paraId="0896179E">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86" w:type="dxa"/>
            <w:tcBorders>
              <w:top w:val="single" w:color="000000" w:sz="4" w:space="0"/>
              <w:left w:val="single" w:color="000000" w:sz="4" w:space="0"/>
              <w:bottom w:val="single" w:color="000000" w:sz="4" w:space="0"/>
              <w:right w:val="single" w:color="000000" w:sz="4" w:space="0"/>
            </w:tcBorders>
            <w:noWrap w:val="0"/>
            <w:vAlign w:val="center"/>
          </w:tcPr>
          <w:p w14:paraId="4ED2F3AA">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不及时</w:t>
            </w:r>
            <w:r>
              <w:rPr>
                <w:rFonts w:hint="eastAsia" w:ascii="宋体" w:hAnsi="宋体" w:eastAsia="宋体" w:cs="宋体"/>
                <w:color w:val="auto"/>
                <w:sz w:val="24"/>
                <w:szCs w:val="24"/>
                <w:highlight w:val="none"/>
                <w:lang w:val="en-US" w:eastAsia="zh-CN"/>
              </w:rPr>
              <w:t>发现、劝阻</w:t>
            </w:r>
          </w:p>
        </w:tc>
      </w:tr>
      <w:tr w14:paraId="593FD839">
        <w:tblPrEx>
          <w:tblCellMar>
            <w:top w:w="15" w:type="dxa"/>
            <w:left w:w="15" w:type="dxa"/>
            <w:bottom w:w="15" w:type="dxa"/>
            <w:right w:w="15" w:type="dxa"/>
          </w:tblCellMar>
        </w:tblPrEx>
        <w:trPr>
          <w:trHeight w:val="600" w:hRule="atLeast"/>
        </w:trPr>
        <w:tc>
          <w:tcPr>
            <w:tcW w:w="843" w:type="dxa"/>
            <w:tcBorders>
              <w:top w:val="single" w:color="000000" w:sz="4" w:space="0"/>
              <w:left w:val="single" w:color="000000" w:sz="4" w:space="0"/>
              <w:bottom w:val="single" w:color="000000" w:sz="4" w:space="0"/>
              <w:right w:val="single" w:color="000000" w:sz="4" w:space="0"/>
            </w:tcBorders>
            <w:noWrap w:val="0"/>
            <w:vAlign w:val="center"/>
          </w:tcPr>
          <w:p w14:paraId="061DE89E">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863" w:type="dxa"/>
            <w:tcBorders>
              <w:top w:val="single" w:color="000000" w:sz="4" w:space="0"/>
              <w:left w:val="single" w:color="000000" w:sz="4" w:space="0"/>
              <w:bottom w:val="single" w:color="000000" w:sz="4" w:space="0"/>
              <w:right w:val="single" w:color="000000" w:sz="4" w:space="0"/>
            </w:tcBorders>
            <w:noWrap w:val="0"/>
            <w:vAlign w:val="center"/>
          </w:tcPr>
          <w:p w14:paraId="643E182B">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占用人行道（绿道）晾晒衣服等</w:t>
            </w:r>
          </w:p>
        </w:tc>
        <w:tc>
          <w:tcPr>
            <w:tcW w:w="1295" w:type="dxa"/>
            <w:tcBorders>
              <w:top w:val="single" w:color="000000" w:sz="4" w:space="0"/>
              <w:left w:val="single" w:color="000000" w:sz="4" w:space="0"/>
              <w:bottom w:val="single" w:color="000000" w:sz="4" w:space="0"/>
              <w:right w:val="single" w:color="000000" w:sz="4" w:space="0"/>
            </w:tcBorders>
            <w:noWrap w:val="0"/>
            <w:vAlign w:val="center"/>
          </w:tcPr>
          <w:p w14:paraId="565CC4E7">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处</w:t>
            </w:r>
          </w:p>
        </w:tc>
        <w:tc>
          <w:tcPr>
            <w:tcW w:w="1228" w:type="dxa"/>
            <w:tcBorders>
              <w:top w:val="single" w:color="000000" w:sz="4" w:space="0"/>
              <w:left w:val="single" w:color="000000" w:sz="4" w:space="0"/>
              <w:bottom w:val="single" w:color="000000" w:sz="4" w:space="0"/>
              <w:right w:val="single" w:color="000000" w:sz="4" w:space="0"/>
            </w:tcBorders>
            <w:noWrap w:val="0"/>
            <w:vAlign w:val="center"/>
          </w:tcPr>
          <w:p w14:paraId="2814413A">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86" w:type="dxa"/>
            <w:tcBorders>
              <w:top w:val="single" w:color="000000" w:sz="4" w:space="0"/>
              <w:left w:val="single" w:color="000000" w:sz="4" w:space="0"/>
              <w:bottom w:val="single" w:color="000000" w:sz="4" w:space="0"/>
              <w:right w:val="single" w:color="000000" w:sz="4" w:space="0"/>
            </w:tcBorders>
            <w:noWrap w:val="0"/>
            <w:vAlign w:val="center"/>
          </w:tcPr>
          <w:p w14:paraId="365A27BB">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不及时</w:t>
            </w:r>
            <w:r>
              <w:rPr>
                <w:rFonts w:hint="eastAsia" w:ascii="宋体" w:hAnsi="宋体" w:eastAsia="宋体" w:cs="宋体"/>
                <w:color w:val="auto"/>
                <w:sz w:val="24"/>
                <w:szCs w:val="24"/>
                <w:highlight w:val="none"/>
                <w:lang w:val="en-US" w:eastAsia="zh-CN"/>
              </w:rPr>
              <w:t>发现、劝阻</w:t>
            </w:r>
          </w:p>
        </w:tc>
      </w:tr>
      <w:tr w14:paraId="4FE20395">
        <w:tblPrEx>
          <w:tblCellMar>
            <w:top w:w="15" w:type="dxa"/>
            <w:left w:w="15" w:type="dxa"/>
            <w:bottom w:w="15" w:type="dxa"/>
            <w:right w:w="15" w:type="dxa"/>
          </w:tblCellMar>
        </w:tblPrEx>
        <w:trPr>
          <w:trHeight w:val="600" w:hRule="atLeast"/>
        </w:trPr>
        <w:tc>
          <w:tcPr>
            <w:tcW w:w="843" w:type="dxa"/>
            <w:tcBorders>
              <w:top w:val="single" w:color="000000" w:sz="4" w:space="0"/>
              <w:left w:val="single" w:color="000000" w:sz="4" w:space="0"/>
              <w:bottom w:val="single" w:color="000000" w:sz="4" w:space="0"/>
              <w:right w:val="single" w:color="000000" w:sz="4" w:space="0"/>
            </w:tcBorders>
            <w:noWrap w:val="0"/>
            <w:vAlign w:val="center"/>
          </w:tcPr>
          <w:p w14:paraId="4A678D4F">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2863" w:type="dxa"/>
            <w:tcBorders>
              <w:top w:val="single" w:color="000000" w:sz="4" w:space="0"/>
              <w:left w:val="single" w:color="000000" w:sz="4" w:space="0"/>
              <w:bottom w:val="single" w:color="000000" w:sz="4" w:space="0"/>
              <w:right w:val="single" w:color="000000" w:sz="4" w:space="0"/>
            </w:tcBorders>
            <w:noWrap w:val="0"/>
            <w:vAlign w:val="center"/>
          </w:tcPr>
          <w:p w14:paraId="404B5F4C">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占道堆放物料</w:t>
            </w:r>
          </w:p>
        </w:tc>
        <w:tc>
          <w:tcPr>
            <w:tcW w:w="1295" w:type="dxa"/>
            <w:tcBorders>
              <w:top w:val="single" w:color="000000" w:sz="4" w:space="0"/>
              <w:left w:val="single" w:color="000000" w:sz="4" w:space="0"/>
              <w:bottom w:val="single" w:color="000000" w:sz="4" w:space="0"/>
              <w:right w:val="single" w:color="000000" w:sz="4" w:space="0"/>
            </w:tcBorders>
            <w:noWrap w:val="0"/>
            <w:vAlign w:val="center"/>
          </w:tcPr>
          <w:p w14:paraId="5F2247BE">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处</w:t>
            </w:r>
          </w:p>
        </w:tc>
        <w:tc>
          <w:tcPr>
            <w:tcW w:w="1228" w:type="dxa"/>
            <w:tcBorders>
              <w:top w:val="single" w:color="000000" w:sz="4" w:space="0"/>
              <w:left w:val="single" w:color="000000" w:sz="4" w:space="0"/>
              <w:bottom w:val="single" w:color="000000" w:sz="4" w:space="0"/>
              <w:right w:val="single" w:color="000000" w:sz="4" w:space="0"/>
            </w:tcBorders>
            <w:noWrap w:val="0"/>
            <w:vAlign w:val="center"/>
          </w:tcPr>
          <w:p w14:paraId="63AD3F8A">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86" w:type="dxa"/>
            <w:tcBorders>
              <w:top w:val="single" w:color="000000" w:sz="4" w:space="0"/>
              <w:left w:val="single" w:color="000000" w:sz="4" w:space="0"/>
              <w:bottom w:val="single" w:color="000000" w:sz="4" w:space="0"/>
              <w:right w:val="single" w:color="000000" w:sz="4" w:space="0"/>
            </w:tcBorders>
            <w:noWrap w:val="0"/>
            <w:vAlign w:val="center"/>
          </w:tcPr>
          <w:p w14:paraId="13C2BD4C">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不及时</w:t>
            </w:r>
            <w:r>
              <w:rPr>
                <w:rFonts w:hint="eastAsia" w:ascii="宋体" w:hAnsi="宋体" w:eastAsia="宋体" w:cs="宋体"/>
                <w:color w:val="auto"/>
                <w:sz w:val="24"/>
                <w:szCs w:val="24"/>
                <w:highlight w:val="none"/>
                <w:lang w:val="en-US" w:eastAsia="zh-CN"/>
              </w:rPr>
              <w:t>发现、劝阻</w:t>
            </w:r>
          </w:p>
        </w:tc>
      </w:tr>
      <w:tr w14:paraId="706E71B1">
        <w:tblPrEx>
          <w:tblCellMar>
            <w:top w:w="15" w:type="dxa"/>
            <w:left w:w="15" w:type="dxa"/>
            <w:bottom w:w="15" w:type="dxa"/>
            <w:right w:w="15" w:type="dxa"/>
          </w:tblCellMar>
        </w:tblPrEx>
        <w:trPr>
          <w:trHeight w:val="600" w:hRule="atLeast"/>
        </w:trPr>
        <w:tc>
          <w:tcPr>
            <w:tcW w:w="843" w:type="dxa"/>
            <w:tcBorders>
              <w:top w:val="single" w:color="000000" w:sz="4" w:space="0"/>
              <w:left w:val="single" w:color="000000" w:sz="4" w:space="0"/>
              <w:bottom w:val="single" w:color="000000" w:sz="4" w:space="0"/>
              <w:right w:val="single" w:color="000000" w:sz="4" w:space="0"/>
            </w:tcBorders>
            <w:noWrap w:val="0"/>
            <w:vAlign w:val="center"/>
          </w:tcPr>
          <w:p w14:paraId="32389240">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2863" w:type="dxa"/>
            <w:tcBorders>
              <w:top w:val="single" w:color="000000" w:sz="4" w:space="0"/>
              <w:left w:val="single" w:color="000000" w:sz="4" w:space="0"/>
              <w:bottom w:val="single" w:color="000000" w:sz="4" w:space="0"/>
              <w:right w:val="single" w:color="000000" w:sz="4" w:space="0"/>
            </w:tcBorders>
            <w:noWrap w:val="0"/>
            <w:vAlign w:val="center"/>
          </w:tcPr>
          <w:p w14:paraId="04FD4031">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噪音扰民</w:t>
            </w:r>
          </w:p>
        </w:tc>
        <w:tc>
          <w:tcPr>
            <w:tcW w:w="1295" w:type="dxa"/>
            <w:tcBorders>
              <w:top w:val="single" w:color="000000" w:sz="4" w:space="0"/>
              <w:left w:val="single" w:color="000000" w:sz="4" w:space="0"/>
              <w:bottom w:val="single" w:color="000000" w:sz="4" w:space="0"/>
              <w:right w:val="single" w:color="000000" w:sz="4" w:space="0"/>
            </w:tcBorders>
            <w:noWrap w:val="0"/>
            <w:vAlign w:val="center"/>
          </w:tcPr>
          <w:p w14:paraId="028DFFBD">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处</w:t>
            </w:r>
          </w:p>
        </w:tc>
        <w:tc>
          <w:tcPr>
            <w:tcW w:w="1228" w:type="dxa"/>
            <w:tcBorders>
              <w:top w:val="single" w:color="000000" w:sz="4" w:space="0"/>
              <w:left w:val="single" w:color="000000" w:sz="4" w:space="0"/>
              <w:bottom w:val="single" w:color="000000" w:sz="4" w:space="0"/>
              <w:right w:val="single" w:color="000000" w:sz="4" w:space="0"/>
            </w:tcBorders>
            <w:noWrap w:val="0"/>
            <w:vAlign w:val="center"/>
          </w:tcPr>
          <w:p w14:paraId="4D1E826A">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86" w:type="dxa"/>
            <w:tcBorders>
              <w:top w:val="single" w:color="000000" w:sz="4" w:space="0"/>
              <w:left w:val="single" w:color="000000" w:sz="4" w:space="0"/>
              <w:bottom w:val="single" w:color="000000" w:sz="4" w:space="0"/>
              <w:right w:val="single" w:color="000000" w:sz="4" w:space="0"/>
            </w:tcBorders>
            <w:noWrap w:val="0"/>
            <w:vAlign w:val="center"/>
          </w:tcPr>
          <w:p w14:paraId="0FAE6043">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不及时</w:t>
            </w:r>
            <w:r>
              <w:rPr>
                <w:rFonts w:hint="eastAsia" w:ascii="宋体" w:hAnsi="宋体" w:eastAsia="宋体" w:cs="宋体"/>
                <w:color w:val="auto"/>
                <w:sz w:val="24"/>
                <w:szCs w:val="24"/>
                <w:highlight w:val="none"/>
                <w:lang w:val="en-US" w:eastAsia="zh-CN"/>
              </w:rPr>
              <w:t>发现、劝阻</w:t>
            </w:r>
          </w:p>
        </w:tc>
      </w:tr>
      <w:tr w14:paraId="3C000F44">
        <w:tblPrEx>
          <w:tblCellMar>
            <w:top w:w="15" w:type="dxa"/>
            <w:left w:w="15" w:type="dxa"/>
            <w:bottom w:w="15" w:type="dxa"/>
            <w:right w:w="15" w:type="dxa"/>
          </w:tblCellMar>
        </w:tblPrEx>
        <w:trPr>
          <w:trHeight w:val="600" w:hRule="atLeast"/>
        </w:trPr>
        <w:tc>
          <w:tcPr>
            <w:tcW w:w="843" w:type="dxa"/>
            <w:tcBorders>
              <w:top w:val="single" w:color="000000" w:sz="4" w:space="0"/>
              <w:left w:val="single" w:color="000000" w:sz="4" w:space="0"/>
              <w:bottom w:val="single" w:color="000000" w:sz="4" w:space="0"/>
              <w:right w:val="single" w:color="000000" w:sz="4" w:space="0"/>
            </w:tcBorders>
            <w:noWrap w:val="0"/>
            <w:vAlign w:val="center"/>
          </w:tcPr>
          <w:p w14:paraId="076CABB9">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2863" w:type="dxa"/>
            <w:tcBorders>
              <w:top w:val="single" w:color="000000" w:sz="4" w:space="0"/>
              <w:left w:val="single" w:color="000000" w:sz="4" w:space="0"/>
              <w:bottom w:val="single" w:color="000000" w:sz="4" w:space="0"/>
              <w:right w:val="single" w:color="000000" w:sz="4" w:space="0"/>
            </w:tcBorders>
            <w:noWrap w:val="0"/>
            <w:vAlign w:val="center"/>
          </w:tcPr>
          <w:p w14:paraId="5B313C04">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污染城市道路</w:t>
            </w:r>
          </w:p>
        </w:tc>
        <w:tc>
          <w:tcPr>
            <w:tcW w:w="1295" w:type="dxa"/>
            <w:tcBorders>
              <w:top w:val="single" w:color="000000" w:sz="4" w:space="0"/>
              <w:left w:val="single" w:color="000000" w:sz="4" w:space="0"/>
              <w:bottom w:val="single" w:color="000000" w:sz="4" w:space="0"/>
              <w:right w:val="single" w:color="000000" w:sz="4" w:space="0"/>
            </w:tcBorders>
            <w:noWrap w:val="0"/>
            <w:vAlign w:val="center"/>
          </w:tcPr>
          <w:p w14:paraId="3C064E3F">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处</w:t>
            </w:r>
          </w:p>
        </w:tc>
        <w:tc>
          <w:tcPr>
            <w:tcW w:w="1228" w:type="dxa"/>
            <w:tcBorders>
              <w:top w:val="single" w:color="000000" w:sz="4" w:space="0"/>
              <w:left w:val="single" w:color="000000" w:sz="4" w:space="0"/>
              <w:bottom w:val="single" w:color="000000" w:sz="4" w:space="0"/>
              <w:right w:val="single" w:color="000000" w:sz="4" w:space="0"/>
            </w:tcBorders>
            <w:noWrap w:val="0"/>
            <w:vAlign w:val="center"/>
          </w:tcPr>
          <w:p w14:paraId="046E4538">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p>
        </w:tc>
        <w:tc>
          <w:tcPr>
            <w:tcW w:w="2086" w:type="dxa"/>
            <w:tcBorders>
              <w:top w:val="single" w:color="000000" w:sz="4" w:space="0"/>
              <w:left w:val="single" w:color="000000" w:sz="4" w:space="0"/>
              <w:bottom w:val="single" w:color="000000" w:sz="4" w:space="0"/>
              <w:right w:val="single" w:color="000000" w:sz="4" w:space="0"/>
            </w:tcBorders>
            <w:noWrap w:val="0"/>
            <w:vAlign w:val="center"/>
          </w:tcPr>
          <w:p w14:paraId="185A165A">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不及时</w:t>
            </w:r>
            <w:r>
              <w:rPr>
                <w:rFonts w:hint="eastAsia" w:ascii="宋体" w:hAnsi="宋体" w:eastAsia="宋体" w:cs="宋体"/>
                <w:color w:val="auto"/>
                <w:sz w:val="24"/>
                <w:szCs w:val="24"/>
                <w:highlight w:val="none"/>
                <w:lang w:val="en-US" w:eastAsia="zh-CN"/>
              </w:rPr>
              <w:t>发现、报告</w:t>
            </w:r>
          </w:p>
        </w:tc>
      </w:tr>
      <w:tr w14:paraId="711E4274">
        <w:tblPrEx>
          <w:tblCellMar>
            <w:top w:w="15" w:type="dxa"/>
            <w:left w:w="15" w:type="dxa"/>
            <w:bottom w:w="15" w:type="dxa"/>
            <w:right w:w="15" w:type="dxa"/>
          </w:tblCellMar>
        </w:tblPrEx>
        <w:trPr>
          <w:trHeight w:val="600" w:hRule="atLeast"/>
        </w:trPr>
        <w:tc>
          <w:tcPr>
            <w:tcW w:w="843" w:type="dxa"/>
            <w:tcBorders>
              <w:top w:val="single" w:color="000000" w:sz="4" w:space="0"/>
              <w:left w:val="single" w:color="000000" w:sz="4" w:space="0"/>
              <w:bottom w:val="single" w:color="000000" w:sz="4" w:space="0"/>
              <w:right w:val="single" w:color="000000" w:sz="4" w:space="0"/>
            </w:tcBorders>
            <w:noWrap w:val="0"/>
            <w:vAlign w:val="center"/>
          </w:tcPr>
          <w:p w14:paraId="5C3F9165">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2863" w:type="dxa"/>
            <w:tcBorders>
              <w:top w:val="single" w:color="000000" w:sz="4" w:space="0"/>
              <w:left w:val="single" w:color="000000" w:sz="4" w:space="0"/>
              <w:bottom w:val="single" w:color="000000" w:sz="4" w:space="0"/>
              <w:right w:val="single" w:color="000000" w:sz="4" w:space="0"/>
            </w:tcBorders>
            <w:noWrap w:val="0"/>
            <w:vAlign w:val="center"/>
          </w:tcPr>
          <w:p w14:paraId="4FBB75A3">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擅自倾倒建筑或生活垃圾</w:t>
            </w:r>
          </w:p>
        </w:tc>
        <w:tc>
          <w:tcPr>
            <w:tcW w:w="1295" w:type="dxa"/>
            <w:tcBorders>
              <w:top w:val="single" w:color="000000" w:sz="4" w:space="0"/>
              <w:left w:val="single" w:color="000000" w:sz="4" w:space="0"/>
              <w:bottom w:val="single" w:color="000000" w:sz="4" w:space="0"/>
              <w:right w:val="single" w:color="000000" w:sz="4" w:space="0"/>
            </w:tcBorders>
            <w:noWrap w:val="0"/>
            <w:vAlign w:val="center"/>
          </w:tcPr>
          <w:p w14:paraId="37C8513C">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处</w:t>
            </w:r>
          </w:p>
        </w:tc>
        <w:tc>
          <w:tcPr>
            <w:tcW w:w="1228" w:type="dxa"/>
            <w:tcBorders>
              <w:top w:val="single" w:color="000000" w:sz="4" w:space="0"/>
              <w:left w:val="single" w:color="000000" w:sz="4" w:space="0"/>
              <w:bottom w:val="single" w:color="000000" w:sz="4" w:space="0"/>
              <w:right w:val="single" w:color="000000" w:sz="4" w:space="0"/>
            </w:tcBorders>
            <w:noWrap w:val="0"/>
            <w:vAlign w:val="center"/>
          </w:tcPr>
          <w:p w14:paraId="298FF25D">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p>
        </w:tc>
        <w:tc>
          <w:tcPr>
            <w:tcW w:w="2086" w:type="dxa"/>
            <w:tcBorders>
              <w:top w:val="single" w:color="000000" w:sz="4" w:space="0"/>
              <w:left w:val="single" w:color="000000" w:sz="4" w:space="0"/>
              <w:bottom w:val="single" w:color="000000" w:sz="4" w:space="0"/>
              <w:right w:val="single" w:color="000000" w:sz="4" w:space="0"/>
            </w:tcBorders>
            <w:noWrap w:val="0"/>
            <w:vAlign w:val="center"/>
          </w:tcPr>
          <w:p w14:paraId="13CBC894">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不及时</w:t>
            </w:r>
            <w:r>
              <w:rPr>
                <w:rFonts w:hint="eastAsia" w:ascii="宋体" w:hAnsi="宋体" w:eastAsia="宋体" w:cs="宋体"/>
                <w:color w:val="auto"/>
                <w:sz w:val="24"/>
                <w:szCs w:val="24"/>
                <w:highlight w:val="none"/>
                <w:lang w:val="en-US" w:eastAsia="zh-CN"/>
              </w:rPr>
              <w:t>发现、劝阻和报告</w:t>
            </w:r>
          </w:p>
        </w:tc>
      </w:tr>
      <w:tr w14:paraId="4B97597E">
        <w:tblPrEx>
          <w:tblCellMar>
            <w:top w:w="15" w:type="dxa"/>
            <w:left w:w="15" w:type="dxa"/>
            <w:bottom w:w="15" w:type="dxa"/>
            <w:right w:w="15" w:type="dxa"/>
          </w:tblCellMar>
        </w:tblPrEx>
        <w:trPr>
          <w:trHeight w:val="600" w:hRule="atLeast"/>
        </w:trPr>
        <w:tc>
          <w:tcPr>
            <w:tcW w:w="843" w:type="dxa"/>
            <w:tcBorders>
              <w:top w:val="single" w:color="000000" w:sz="4" w:space="0"/>
              <w:left w:val="single" w:color="000000" w:sz="4" w:space="0"/>
              <w:bottom w:val="single" w:color="000000" w:sz="4" w:space="0"/>
              <w:right w:val="single" w:color="000000" w:sz="4" w:space="0"/>
            </w:tcBorders>
            <w:noWrap w:val="0"/>
            <w:vAlign w:val="center"/>
          </w:tcPr>
          <w:p w14:paraId="3F881DE6">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p>
        </w:tc>
        <w:tc>
          <w:tcPr>
            <w:tcW w:w="2863" w:type="dxa"/>
            <w:tcBorders>
              <w:top w:val="single" w:color="000000" w:sz="4" w:space="0"/>
              <w:left w:val="single" w:color="000000" w:sz="4" w:space="0"/>
              <w:bottom w:val="single" w:color="000000" w:sz="4" w:space="0"/>
              <w:right w:val="single" w:color="000000" w:sz="4" w:space="0"/>
            </w:tcBorders>
            <w:noWrap w:val="0"/>
            <w:vAlign w:val="center"/>
          </w:tcPr>
          <w:p w14:paraId="644EF805">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流浪乞讨劝离</w:t>
            </w:r>
          </w:p>
        </w:tc>
        <w:tc>
          <w:tcPr>
            <w:tcW w:w="1295" w:type="dxa"/>
            <w:tcBorders>
              <w:top w:val="single" w:color="000000" w:sz="4" w:space="0"/>
              <w:left w:val="single" w:color="000000" w:sz="4" w:space="0"/>
              <w:bottom w:val="single" w:color="000000" w:sz="4" w:space="0"/>
              <w:right w:val="single" w:color="000000" w:sz="4" w:space="0"/>
            </w:tcBorders>
            <w:noWrap w:val="0"/>
            <w:vAlign w:val="center"/>
          </w:tcPr>
          <w:p w14:paraId="2D21637C">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次</w:t>
            </w:r>
          </w:p>
        </w:tc>
        <w:tc>
          <w:tcPr>
            <w:tcW w:w="1228" w:type="dxa"/>
            <w:tcBorders>
              <w:top w:val="single" w:color="000000" w:sz="4" w:space="0"/>
              <w:left w:val="single" w:color="000000" w:sz="4" w:space="0"/>
              <w:bottom w:val="single" w:color="000000" w:sz="4" w:space="0"/>
              <w:right w:val="single" w:color="000000" w:sz="4" w:space="0"/>
            </w:tcBorders>
            <w:noWrap w:val="0"/>
            <w:vAlign w:val="center"/>
          </w:tcPr>
          <w:p w14:paraId="4B35B3B5">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86" w:type="dxa"/>
            <w:tcBorders>
              <w:top w:val="single" w:color="000000" w:sz="4" w:space="0"/>
              <w:left w:val="single" w:color="000000" w:sz="4" w:space="0"/>
              <w:bottom w:val="single" w:color="000000" w:sz="4" w:space="0"/>
              <w:right w:val="single" w:color="000000" w:sz="4" w:space="0"/>
            </w:tcBorders>
            <w:noWrap w:val="0"/>
            <w:vAlign w:val="center"/>
          </w:tcPr>
          <w:p w14:paraId="5414613B">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不及时</w:t>
            </w:r>
            <w:r>
              <w:rPr>
                <w:rFonts w:hint="eastAsia" w:ascii="宋体" w:hAnsi="宋体" w:eastAsia="宋体" w:cs="宋体"/>
                <w:color w:val="auto"/>
                <w:sz w:val="24"/>
                <w:szCs w:val="24"/>
                <w:highlight w:val="none"/>
                <w:lang w:val="en-US" w:eastAsia="zh-CN"/>
              </w:rPr>
              <w:t>发现、劝阻</w:t>
            </w:r>
          </w:p>
        </w:tc>
      </w:tr>
      <w:tr w14:paraId="3C4A162C">
        <w:tblPrEx>
          <w:tblCellMar>
            <w:top w:w="15" w:type="dxa"/>
            <w:left w:w="15" w:type="dxa"/>
            <w:bottom w:w="15" w:type="dxa"/>
            <w:right w:w="15" w:type="dxa"/>
          </w:tblCellMar>
        </w:tblPrEx>
        <w:trPr>
          <w:trHeight w:val="600" w:hRule="atLeast"/>
        </w:trPr>
        <w:tc>
          <w:tcPr>
            <w:tcW w:w="843" w:type="dxa"/>
            <w:tcBorders>
              <w:top w:val="single" w:color="000000" w:sz="4" w:space="0"/>
              <w:left w:val="single" w:color="000000" w:sz="4" w:space="0"/>
              <w:bottom w:val="single" w:color="000000" w:sz="4" w:space="0"/>
              <w:right w:val="single" w:color="000000" w:sz="4" w:space="0"/>
            </w:tcBorders>
            <w:noWrap w:val="0"/>
            <w:vAlign w:val="center"/>
          </w:tcPr>
          <w:p w14:paraId="2F3599FC">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p>
        </w:tc>
        <w:tc>
          <w:tcPr>
            <w:tcW w:w="2863" w:type="dxa"/>
            <w:tcBorders>
              <w:top w:val="single" w:color="000000" w:sz="4" w:space="0"/>
              <w:left w:val="single" w:color="000000" w:sz="4" w:space="0"/>
              <w:bottom w:val="single" w:color="000000" w:sz="4" w:space="0"/>
              <w:right w:val="single" w:color="000000" w:sz="4" w:space="0"/>
            </w:tcBorders>
            <w:noWrap w:val="0"/>
            <w:vAlign w:val="center"/>
          </w:tcPr>
          <w:p w14:paraId="647C94A6">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江苏省城市市容和环境卫生管理条例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中城市管理其它内容</w:t>
            </w:r>
          </w:p>
        </w:tc>
        <w:tc>
          <w:tcPr>
            <w:tcW w:w="1295" w:type="dxa"/>
            <w:tcBorders>
              <w:top w:val="single" w:color="000000" w:sz="4" w:space="0"/>
              <w:left w:val="single" w:color="000000" w:sz="4" w:space="0"/>
              <w:bottom w:val="single" w:color="000000" w:sz="4" w:space="0"/>
              <w:right w:val="single" w:color="000000" w:sz="4" w:space="0"/>
            </w:tcBorders>
            <w:noWrap w:val="0"/>
            <w:vAlign w:val="center"/>
          </w:tcPr>
          <w:p w14:paraId="7284FE80">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处</w:t>
            </w:r>
          </w:p>
        </w:tc>
        <w:tc>
          <w:tcPr>
            <w:tcW w:w="1228" w:type="dxa"/>
            <w:tcBorders>
              <w:top w:val="single" w:color="000000" w:sz="4" w:space="0"/>
              <w:left w:val="single" w:color="000000" w:sz="4" w:space="0"/>
              <w:bottom w:val="single" w:color="000000" w:sz="4" w:space="0"/>
              <w:right w:val="single" w:color="000000" w:sz="4" w:space="0"/>
            </w:tcBorders>
            <w:noWrap w:val="0"/>
            <w:vAlign w:val="center"/>
          </w:tcPr>
          <w:p w14:paraId="163A0576">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p>
        </w:tc>
        <w:tc>
          <w:tcPr>
            <w:tcW w:w="2086" w:type="dxa"/>
            <w:tcBorders>
              <w:top w:val="single" w:color="000000" w:sz="4" w:space="0"/>
              <w:left w:val="single" w:color="000000" w:sz="4" w:space="0"/>
              <w:bottom w:val="single" w:color="000000" w:sz="4" w:space="0"/>
              <w:right w:val="single" w:color="000000" w:sz="4" w:space="0"/>
            </w:tcBorders>
            <w:noWrap w:val="0"/>
            <w:vAlign w:val="center"/>
          </w:tcPr>
          <w:p w14:paraId="527FF8A6">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不及时发现、汇报</w:t>
            </w:r>
          </w:p>
        </w:tc>
      </w:tr>
    </w:tbl>
    <w:p w14:paraId="7AF10288">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（一）考核方式要求</w:t>
      </w:r>
    </w:p>
    <w:p w14:paraId="49372360">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1、日常考核。由所属市容执法分队每日对市容管理服务路段，随机抽查，对照“考核分值表”进行日考核，并将考核结果次日上午通报，并签字确认，每1分值扣管理费20元。</w:t>
      </w:r>
    </w:p>
    <w:p w14:paraId="6594B740">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2、不择时全区域考核。由执法中队机动分队对照“考核分值表”每周检查一次，不择时对管理路段实施考核，双倍扣分，每1分值扣管理费20元。</w:t>
      </w:r>
    </w:p>
    <w:p w14:paraId="4DDA841C">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3、领导巡检。由区、局不定时检查，由执法中队对照“考核分值表”，单列“领导巡检扣分”，并由局督查协调科进行通报，3倍扣分，每1分值扣管理费,20元。</w:t>
      </w:r>
    </w:p>
    <w:p w14:paraId="59F09861">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(二)工作纪律及扣分标准</w:t>
      </w:r>
    </w:p>
    <w:p w14:paraId="7650DC4B">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1、聘用人员按规定的工作时间准时上下班，不迟到，不早退(含开会)，上下班采取定位定点拍照上传方式，违反的扣所属公司管理1分/人次。</w:t>
      </w:r>
    </w:p>
    <w:p w14:paraId="5BEA3603">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2、聘用人员上班期间必须按规定着装，保持衣帽整洁，并</w:t>
      </w:r>
      <w:r>
        <w:rPr>
          <w:rFonts w:hint="eastAsia" w:ascii="宋体" w:hAnsi="宋体" w:eastAsia="宋体" w:cs="宋体"/>
          <w:color w:val="auto"/>
          <w:sz w:val="24"/>
          <w:szCs w:val="24"/>
          <w:highlight w:val="none"/>
          <w:lang w:val="en-US" w:eastAsia="zh-CN"/>
        </w:rPr>
        <w:t>规范</w:t>
      </w:r>
      <w:r>
        <w:rPr>
          <w:rFonts w:hint="eastAsia" w:ascii="宋体" w:hAnsi="宋体" w:eastAsia="宋体" w:cs="宋体"/>
          <w:color w:val="auto"/>
          <w:sz w:val="24"/>
          <w:szCs w:val="24"/>
          <w:highlight w:val="none"/>
        </w:rPr>
        <w:t>使用指定的</w:t>
      </w:r>
      <w:r>
        <w:rPr>
          <w:rFonts w:hint="eastAsia" w:ascii="宋体" w:hAnsi="宋体" w:eastAsia="宋体" w:cs="宋体"/>
          <w:color w:val="auto"/>
          <w:sz w:val="24"/>
          <w:szCs w:val="24"/>
          <w:highlight w:val="none"/>
          <w:lang w:val="en-US" w:eastAsia="zh-CN"/>
        </w:rPr>
        <w:t>装备及</w:t>
      </w:r>
      <w:r>
        <w:rPr>
          <w:rFonts w:hint="eastAsia" w:ascii="宋体" w:hAnsi="宋体" w:eastAsia="宋体" w:cs="宋体"/>
          <w:color w:val="auto"/>
          <w:sz w:val="24"/>
          <w:szCs w:val="24"/>
          <w:highlight w:val="none"/>
        </w:rPr>
        <w:t>工具，违反的扣所属公司管理费2分/人次。</w:t>
      </w:r>
    </w:p>
    <w:p w14:paraId="2BDE3592">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3、聘用人员按规定每周调休一天，每周将调休和上班考勤表报执法大队；不按规定调休或者履行请假手续的，扣管理费5分/人次。</w:t>
      </w:r>
    </w:p>
    <w:p w14:paraId="56613770">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4、聘用人员上班时间不得无故离岗、脱岗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串岗</w:t>
      </w:r>
      <w:r>
        <w:rPr>
          <w:rFonts w:hint="eastAsia" w:ascii="宋体" w:hAnsi="宋体" w:eastAsia="宋体" w:cs="宋体"/>
          <w:color w:val="auto"/>
          <w:sz w:val="24"/>
          <w:szCs w:val="24"/>
          <w:highlight w:val="none"/>
        </w:rPr>
        <w:t>，不准吃零食、抽烟、饮酒，不做与工作无关的事，不聚集聊天，违反的扣管理费1分/人次。</w:t>
      </w:r>
    </w:p>
    <w:p w14:paraId="1D059893">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5、因违反工作纪律受到群众投诉的一经查实，1次扣10分，情节严重造成恶劣影响的给予辞退。</w:t>
      </w:r>
    </w:p>
    <w:p w14:paraId="1B0D23B2">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(三)督查考核</w:t>
      </w:r>
    </w:p>
    <w:p w14:paraId="403D4142">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w:t>
      </w: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rPr>
        <w:t>必须在管理区域内设置1名项目负责人(此负责人不得从事其它单位其它项目)，</w:t>
      </w:r>
      <w:r>
        <w:rPr>
          <w:rFonts w:hint="eastAsia" w:ascii="宋体" w:hAnsi="宋体" w:eastAsia="宋体" w:cs="宋体"/>
          <w:color w:val="auto"/>
          <w:sz w:val="24"/>
          <w:szCs w:val="24"/>
          <w:highlight w:val="none"/>
          <w:lang w:val="en-US" w:eastAsia="zh-CN"/>
        </w:rPr>
        <w:t>中标单位必须严格按照要求配备约定的装备、设备等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确保</w:t>
      </w:r>
      <w:r>
        <w:rPr>
          <w:rFonts w:hint="eastAsia" w:ascii="宋体" w:hAnsi="宋体" w:eastAsia="宋体" w:cs="宋体"/>
          <w:color w:val="auto"/>
          <w:sz w:val="24"/>
          <w:szCs w:val="24"/>
          <w:highlight w:val="none"/>
        </w:rPr>
        <w:t>市容秩序管理质量。</w:t>
      </w:r>
    </w:p>
    <w:p w14:paraId="0C055CD1">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1、中标</w:t>
      </w: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rPr>
        <w:t>按规定设置相应的管理人员，</w:t>
      </w:r>
      <w:r>
        <w:rPr>
          <w:rFonts w:hint="eastAsia" w:ascii="宋体" w:hAnsi="宋体" w:eastAsia="宋体" w:cs="宋体"/>
          <w:color w:val="auto"/>
          <w:sz w:val="24"/>
          <w:szCs w:val="24"/>
          <w:highlight w:val="none"/>
          <w:lang w:val="en-US" w:eastAsia="zh-CN"/>
        </w:rPr>
        <w:t>每天对当日工作情况进行整理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离职、入职人员次日上午及时向城管中队报备，</w:t>
      </w:r>
      <w:r>
        <w:rPr>
          <w:rFonts w:hint="eastAsia" w:ascii="宋体" w:hAnsi="宋体" w:eastAsia="宋体" w:cs="宋体"/>
          <w:color w:val="auto"/>
          <w:sz w:val="24"/>
          <w:szCs w:val="24"/>
          <w:highlight w:val="none"/>
        </w:rPr>
        <w:t>并做好</w:t>
      </w:r>
      <w:r>
        <w:rPr>
          <w:rFonts w:hint="eastAsia" w:ascii="宋体" w:hAnsi="宋体" w:eastAsia="宋体" w:cs="宋体"/>
          <w:color w:val="auto"/>
          <w:sz w:val="24"/>
          <w:szCs w:val="24"/>
          <w:highlight w:val="none"/>
          <w:lang w:val="en-US" w:eastAsia="zh-CN"/>
        </w:rPr>
        <w:t>日常、学习、制度</w:t>
      </w:r>
      <w:r>
        <w:rPr>
          <w:rFonts w:hint="eastAsia" w:ascii="宋体" w:hAnsi="宋体" w:eastAsia="宋体" w:cs="宋体"/>
          <w:color w:val="auto"/>
          <w:sz w:val="24"/>
          <w:szCs w:val="24"/>
          <w:highlight w:val="none"/>
        </w:rPr>
        <w:t>管理</w:t>
      </w:r>
      <w:r>
        <w:rPr>
          <w:rFonts w:hint="eastAsia" w:ascii="宋体" w:hAnsi="宋体" w:eastAsia="宋体" w:cs="宋体"/>
          <w:color w:val="auto"/>
          <w:sz w:val="24"/>
          <w:szCs w:val="24"/>
          <w:highlight w:val="none"/>
          <w:lang w:val="en-US" w:eastAsia="zh-CN"/>
        </w:rPr>
        <w:t>等相关工作</w:t>
      </w:r>
      <w:r>
        <w:rPr>
          <w:rFonts w:hint="eastAsia" w:ascii="宋体" w:hAnsi="宋体" w:eastAsia="宋体" w:cs="宋体"/>
          <w:color w:val="auto"/>
          <w:sz w:val="24"/>
          <w:szCs w:val="24"/>
          <w:highlight w:val="none"/>
        </w:rPr>
        <w:t>台账，</w:t>
      </w:r>
      <w:r>
        <w:rPr>
          <w:rFonts w:hint="eastAsia" w:ascii="宋体" w:hAnsi="宋体" w:eastAsia="宋体" w:cs="宋体"/>
          <w:color w:val="auto"/>
          <w:sz w:val="24"/>
          <w:szCs w:val="24"/>
          <w:highlight w:val="none"/>
          <w:lang w:val="en-US" w:eastAsia="zh-CN"/>
        </w:rPr>
        <w:t>定期</w:t>
      </w:r>
      <w:r>
        <w:rPr>
          <w:rFonts w:hint="eastAsia" w:ascii="宋体" w:hAnsi="宋体" w:eastAsia="宋体" w:cs="宋体"/>
          <w:color w:val="auto"/>
          <w:sz w:val="24"/>
          <w:szCs w:val="24"/>
          <w:highlight w:val="none"/>
        </w:rPr>
        <w:t>上报</w:t>
      </w:r>
      <w:r>
        <w:rPr>
          <w:rFonts w:hint="eastAsia" w:ascii="宋体" w:hAnsi="宋体" w:eastAsia="宋体" w:cs="宋体"/>
          <w:color w:val="auto"/>
          <w:sz w:val="24"/>
          <w:szCs w:val="24"/>
          <w:highlight w:val="none"/>
          <w:lang w:val="en-US" w:eastAsia="zh-CN"/>
        </w:rPr>
        <w:t>城管中</w:t>
      </w:r>
      <w:r>
        <w:rPr>
          <w:rFonts w:hint="eastAsia" w:ascii="宋体" w:hAnsi="宋体" w:eastAsia="宋体" w:cs="宋体"/>
          <w:color w:val="auto"/>
          <w:sz w:val="24"/>
          <w:szCs w:val="24"/>
          <w:highlight w:val="none"/>
        </w:rPr>
        <w:t>队，违反的扣管理费</w:t>
      </w:r>
      <w:r>
        <w:rPr>
          <w:rFonts w:hint="eastAsia" w:ascii="宋体" w:hAnsi="宋体" w:eastAsia="宋体" w:cs="宋体"/>
          <w:color w:val="auto"/>
          <w:sz w:val="24"/>
          <w:szCs w:val="24"/>
          <w:highlight w:val="none"/>
          <w:lang w:val="en-US" w:eastAsia="zh-CN"/>
        </w:rPr>
        <w:t>10-50</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次</w:t>
      </w:r>
      <w:r>
        <w:rPr>
          <w:rFonts w:hint="eastAsia" w:ascii="宋体" w:hAnsi="宋体" w:eastAsia="宋体" w:cs="宋体"/>
          <w:color w:val="auto"/>
          <w:sz w:val="24"/>
          <w:szCs w:val="24"/>
          <w:highlight w:val="none"/>
        </w:rPr>
        <w:t>。</w:t>
      </w:r>
    </w:p>
    <w:p w14:paraId="463B412F">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w:t>
      </w: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rPr>
        <w:t>必须对聘用人员实行岗前培训，</w:t>
      </w:r>
      <w:r>
        <w:rPr>
          <w:rFonts w:hint="eastAsia" w:ascii="宋体" w:hAnsi="宋体" w:eastAsia="宋体" w:cs="宋体"/>
          <w:color w:val="auto"/>
          <w:sz w:val="24"/>
          <w:szCs w:val="24"/>
          <w:highlight w:val="none"/>
          <w:lang w:val="en-US" w:eastAsia="zh-CN"/>
        </w:rPr>
        <w:t>并取得保安员证书，</w:t>
      </w:r>
      <w:r>
        <w:rPr>
          <w:rFonts w:hint="eastAsia" w:ascii="宋体" w:hAnsi="宋体" w:eastAsia="宋体" w:cs="宋体"/>
          <w:color w:val="auto"/>
          <w:sz w:val="24"/>
          <w:szCs w:val="24"/>
          <w:highlight w:val="none"/>
        </w:rPr>
        <w:t>了解相关法律法规、工作内容等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考核中发现聘用人员对工作内容不了解</w:t>
      </w:r>
      <w:r>
        <w:rPr>
          <w:rFonts w:hint="eastAsia" w:ascii="宋体" w:hAnsi="宋体" w:eastAsia="宋体" w:cs="宋体"/>
          <w:color w:val="auto"/>
          <w:sz w:val="24"/>
          <w:szCs w:val="24"/>
          <w:highlight w:val="none"/>
          <w:lang w:val="en-US" w:eastAsia="zh-CN"/>
        </w:rPr>
        <w:t>或尚未取得保安员证书的</w:t>
      </w:r>
      <w:r>
        <w:rPr>
          <w:rFonts w:hint="eastAsia" w:ascii="宋体" w:hAnsi="宋体" w:eastAsia="宋体" w:cs="宋体"/>
          <w:color w:val="auto"/>
          <w:sz w:val="24"/>
          <w:szCs w:val="24"/>
          <w:highlight w:val="none"/>
        </w:rPr>
        <w:t>，按情节严重程度扣管理费25</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100分/人次。</w:t>
      </w:r>
    </w:p>
    <w:p w14:paraId="29BE7949">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城管分</w:t>
      </w:r>
      <w:r>
        <w:rPr>
          <w:rFonts w:hint="eastAsia" w:ascii="宋体" w:hAnsi="宋体" w:eastAsia="宋体" w:cs="宋体"/>
          <w:color w:val="auto"/>
          <w:sz w:val="24"/>
          <w:szCs w:val="24"/>
          <w:highlight w:val="none"/>
        </w:rPr>
        <w:t>队每天通报考核情况，中标</w:t>
      </w: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rPr>
        <w:t>每天</w:t>
      </w:r>
      <w:r>
        <w:rPr>
          <w:rFonts w:hint="eastAsia" w:ascii="宋体" w:hAnsi="宋体" w:eastAsia="宋体" w:cs="宋体"/>
          <w:color w:val="auto"/>
          <w:sz w:val="24"/>
          <w:szCs w:val="24"/>
          <w:highlight w:val="none"/>
          <w:lang w:val="en-US" w:eastAsia="zh-CN"/>
        </w:rPr>
        <w:t>确认日常考核表</w:t>
      </w:r>
      <w:r>
        <w:rPr>
          <w:rFonts w:hint="eastAsia" w:ascii="宋体" w:hAnsi="宋体" w:eastAsia="宋体" w:cs="宋体"/>
          <w:color w:val="auto"/>
          <w:sz w:val="24"/>
          <w:szCs w:val="24"/>
          <w:highlight w:val="none"/>
        </w:rPr>
        <w:t>，违反的扣管理费5分/次。</w:t>
      </w:r>
    </w:p>
    <w:p w14:paraId="4B83EE3B">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4、中标</w:t>
      </w: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rPr>
        <w:t>严格按合同要求聘用人员(以上报核准人数为准)，不缺人、不断档</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同时，中标单位不得使用超龄人员，一经核实，同缺人、断档处理。</w:t>
      </w:r>
      <w:r>
        <w:rPr>
          <w:rFonts w:hint="eastAsia" w:ascii="宋体" w:hAnsi="宋体" w:eastAsia="宋体" w:cs="宋体"/>
          <w:color w:val="auto"/>
          <w:sz w:val="24"/>
          <w:szCs w:val="24"/>
          <w:highlight w:val="none"/>
        </w:rPr>
        <w:t>违反的扣管理费3分/人次。缺人连续3次以上的(含3次)，扣管理费90分/次。</w:t>
      </w:r>
    </w:p>
    <w:p w14:paraId="6902EBF3">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5、中标</w:t>
      </w: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rPr>
        <w:t>聘用人员对城管执法的考核无理取闹的，对考核人员谩骂打击报复的，扣管理费50分/人次。</w:t>
      </w:r>
    </w:p>
    <w:p w14:paraId="0D97E6BF">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6、在国家、省、市、区级考核中(如：大市区考核、第三方测评等)，如因服务路段问题造成考核排名靠后，扣20分；如造成重大影响的问题扣50分；并对考核中所涉及问题三倍扣分；</w:t>
      </w:r>
    </w:p>
    <w:p w14:paraId="31FFE403">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7、中标</w:t>
      </w:r>
      <w:r>
        <w:rPr>
          <w:rFonts w:hint="eastAsia" w:ascii="宋体" w:hAnsi="宋体" w:eastAsia="宋体" w:cs="宋体"/>
          <w:color w:val="auto"/>
          <w:sz w:val="24"/>
          <w:szCs w:val="24"/>
          <w:highlight w:val="none"/>
          <w:lang w:val="en-US" w:eastAsia="zh-CN"/>
        </w:rPr>
        <w:t>单位在迎查、迎检、</w:t>
      </w:r>
      <w:r>
        <w:rPr>
          <w:rFonts w:hint="eastAsia" w:ascii="宋体" w:hAnsi="宋体" w:eastAsia="宋体" w:cs="宋体"/>
          <w:color w:val="auto"/>
          <w:sz w:val="24"/>
          <w:szCs w:val="24"/>
          <w:highlight w:val="none"/>
        </w:rPr>
        <w:t>保障</w:t>
      </w:r>
      <w:r>
        <w:rPr>
          <w:rFonts w:hint="eastAsia" w:ascii="宋体" w:hAnsi="宋体" w:eastAsia="宋体" w:cs="宋体"/>
          <w:color w:val="auto"/>
          <w:sz w:val="24"/>
          <w:szCs w:val="24"/>
          <w:highlight w:val="none"/>
          <w:lang w:val="en-US" w:eastAsia="zh-CN"/>
        </w:rPr>
        <w:t>等活动</w:t>
      </w:r>
      <w:r>
        <w:rPr>
          <w:rFonts w:hint="eastAsia" w:ascii="宋体" w:hAnsi="宋体" w:eastAsia="宋体" w:cs="宋体"/>
          <w:color w:val="auto"/>
          <w:sz w:val="24"/>
          <w:szCs w:val="24"/>
          <w:highlight w:val="none"/>
        </w:rPr>
        <w:t>期间督查发现问题双倍扣分，领导发现问题3倍扣分，造成重大影响的问题点10倍扣分。</w:t>
      </w:r>
    </w:p>
    <w:p w14:paraId="64FDA917">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8、中标</w:t>
      </w: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rPr>
        <w:t>聘用人员若与市民发生严重争执，影响到城管形象的，扣所属管理费25分/次；在重大保障活动中失责、遭媒体曝光，严重影响到城管形象的，必须无条件辞退，并扣管理费50分/次。</w:t>
      </w:r>
    </w:p>
    <w:p w14:paraId="732369C1">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9、若中标单位调用本项目里服务人员承接非本合同范围的项目，一经查实，扣管理费25</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50分/次。</w:t>
      </w:r>
    </w:p>
    <w:p w14:paraId="5258D659">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中标</w:t>
      </w:r>
      <w:r>
        <w:rPr>
          <w:rFonts w:hint="eastAsia" w:ascii="宋体" w:hAnsi="宋体" w:eastAsia="宋体" w:cs="宋体"/>
          <w:color w:val="auto"/>
          <w:sz w:val="24"/>
          <w:szCs w:val="24"/>
          <w:highlight w:val="none"/>
          <w:lang w:val="en-US" w:eastAsia="zh-CN"/>
        </w:rPr>
        <w:t>单位聘用人员上岗前必须取得保安员证书，若发现无证人员，扣管理费30分/人/次。</w:t>
      </w:r>
    </w:p>
    <w:p w14:paraId="67BA83CD">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11、中标单位聘用人员工资发放必须严格按照相关法律法规进行发放，不得违规苛扣员工工资，养老、医疗等保险严格按照招标文件中要求实施，</w:t>
      </w:r>
      <w:r>
        <w:rPr>
          <w:rFonts w:hint="eastAsia" w:ascii="宋体" w:hAnsi="宋体" w:eastAsia="宋体" w:cs="宋体"/>
          <w:color w:val="auto"/>
          <w:sz w:val="24"/>
          <w:szCs w:val="24"/>
          <w:highlight w:val="none"/>
        </w:rPr>
        <w:t>一经查实，扣管理费2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-50分/</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/次。</w:t>
      </w:r>
    </w:p>
    <w:p w14:paraId="709E3799">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(四)奖励加分考核</w:t>
      </w:r>
    </w:p>
    <w:p w14:paraId="1C3E48B7">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1、如因集中整治、违章拆除、道路保障等事宜，抽调公司人员，每人每次加2分(如涉及加班3小时内按每人每次2分；3小时以上每人每次3分)。</w:t>
      </w:r>
    </w:p>
    <w:p w14:paraId="05375B91">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2、如因工作需要，抽调公司人员至其他路段加班，3小时内每人每次加分2分；3小时以上每人每次3分。</w:t>
      </w:r>
    </w:p>
    <w:p w14:paraId="3DAB4133">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3、国家、省、市、区级考核中(如：大市区考核、第三方测评等)排名第一，外包服务公司奖励50分；服务单位完成交办任务受到区、市政府表扬的加20分-50分；</w:t>
      </w:r>
    </w:p>
    <w:p w14:paraId="1BEEBD16">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其他特殊交办事宜，在交办期限内完成交办任务加20分(难度大的问题加20-50分之间)。</w:t>
      </w:r>
    </w:p>
    <w:p w14:paraId="1BD1F0EA">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服务单位有拾金不昧、见义勇为等好人好事及其他管理工作上先进做法，经查证属实，被新闻媒体报道宣传的，(拾金不昧价值1000元以下的【含证卡文件】、3000元以下的、5000元以上)，所属服务单位按市级报道的分别加10分、20分、30分，获省级报道先进事迹的每次加50分，国家主流媒体(中央一套、人民日报、新华日报)报道的每次加100分；拾金不昧、见义勇为等好人好事有弄虚作假行为一经查实每起扣罚服务单位100分。被报道人员，公司须予以精神及物质奖励，年底评优评先，优先考虑。</w:t>
      </w:r>
    </w:p>
    <w:p w14:paraId="04AEDEAD">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5、对盐南高新区发展做出贡献的，比</w:t>
      </w:r>
      <w:r>
        <w:rPr>
          <w:rFonts w:hint="eastAsia" w:ascii="宋体" w:hAnsi="宋体" w:eastAsia="宋体" w:cs="宋体"/>
          <w:color w:val="auto"/>
          <w:sz w:val="24"/>
          <w:szCs w:val="24"/>
          <w:highlight w:val="none"/>
        </w:rPr>
        <w:t>如提供有用土地招商信息及引进产业项目入户盐南高新区的每个加100分；引进楼宇企业纳税额达1万元以上10万元以下的每个加30分；10万元以上50万元以下的每个加50分；50万元以上的每个加100分，每递增10万元的加10分，并在下一轮报招中，评优评先，优先考虑。</w:t>
      </w:r>
    </w:p>
    <w:p w14:paraId="68BAB3DC">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6、管理考核结果直接与服务单位服务费用挂钩兑现；奖励分值与每月督查考核扣分相结合，结算服务单位相关服务费用。</w:t>
      </w:r>
    </w:p>
    <w:p w14:paraId="1C2949BD">
      <w:pPr>
        <w:keepNext w:val="0"/>
        <w:keepLines w:val="0"/>
        <w:pageBreakBefore w:val="0"/>
        <w:widowControl w:val="0"/>
        <w:spacing w:line="360" w:lineRule="auto"/>
        <w:ind w:firstLine="480"/>
        <w:jc w:val="left"/>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cs="宋体"/>
          <w:i w:val="0"/>
          <w:iCs w:val="0"/>
          <w:caps w:val="0"/>
          <w:color w:val="auto"/>
          <w:spacing w:val="0"/>
          <w:sz w:val="24"/>
          <w:szCs w:val="24"/>
          <w:highlight w:val="none"/>
          <w:shd w:val="clear" w:color="auto" w:fill="FFFFFF"/>
          <w:lang w:val="en-US" w:eastAsia="zh-CN" w:bidi="ar"/>
        </w:rPr>
        <w:t>五</w:t>
      </w:r>
      <w:r>
        <w:rPr>
          <w:rFonts w:hint="eastAsia" w:ascii="宋体" w:hAnsi="宋体" w:eastAsia="宋体" w:cs="宋体"/>
          <w:i w:val="0"/>
          <w:iCs w:val="0"/>
          <w:caps w:val="0"/>
          <w:color w:val="auto"/>
          <w:spacing w:val="0"/>
          <w:sz w:val="24"/>
          <w:szCs w:val="24"/>
          <w:highlight w:val="none"/>
          <w:shd w:val="clear" w:color="auto" w:fill="FFFFFF"/>
          <w:lang w:val="en-US" w:eastAsia="zh-CN" w:bidi="ar"/>
        </w:rPr>
        <w:t>、其它要求</w:t>
      </w:r>
    </w:p>
    <w:p w14:paraId="133BD0BC">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1、在合同期内，中标公司不得将项目分包或整体转包给任何单位和个人，否则，招标单位有权即刻终止合同，并要求中标方赔偿所有相应损失。</w:t>
      </w:r>
    </w:p>
    <w:p w14:paraId="7069B10B">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2、中标公司所有员工身份证及相关资料必须在招标方备案。</w:t>
      </w:r>
    </w:p>
    <w:p w14:paraId="16CB8EF9">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3、中标单位员工在管理服务过程中必须加强劳动保护，在工作中如发生意外人身伤亡事故，由中标公司自行处理，招标方概不负责。</w:t>
      </w:r>
    </w:p>
    <w:p w14:paraId="0649BE7C">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4、中标单位员工在管理服务时必须遵守招标方所有现场的管理规定，否则造成的后果一律由中标单位负责。</w:t>
      </w:r>
    </w:p>
    <w:p w14:paraId="2C8239D2">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5、甲方在项目实施过程中如需遇工作内容、工作范围等调整，对本考核办法进行修改，中标单位须无条件服从。</w:t>
      </w:r>
    </w:p>
    <w:p w14:paraId="4777F7B2">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6、管理考核结果直接与服务单位服务费用挂钩兑现；奖励分值与每月督查考核扣分相结合，结算服务单位相关服务费用。</w:t>
      </w:r>
    </w:p>
    <w:p w14:paraId="456A53CA">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7、中标单位提供一间固定办公场所。</w:t>
      </w:r>
    </w:p>
    <w:p w14:paraId="54C1B77B">
      <w:pPr>
        <w:keepNext w:val="0"/>
        <w:keepLines w:val="0"/>
        <w:pageBreakBefore w:val="0"/>
        <w:spacing w:line="500" w:lineRule="exact"/>
        <w:ind w:firstLine="480"/>
        <w:rPr>
          <w:rFonts w:hint="eastAsia" w:ascii="宋体" w:hAnsi="宋体" w:eastAsia="宋体" w:cs="宋体"/>
          <w:color w:val="auto"/>
          <w:sz w:val="24"/>
          <w:szCs w:val="24"/>
          <w:highlight w:val="none"/>
        </w:rPr>
      </w:pPr>
    </w:p>
    <w:p w14:paraId="56665435">
      <w:pPr>
        <w:rPr>
          <w:rFonts w:hint="eastAsia"/>
          <w:color w:val="auto"/>
          <w:highlight w:val="none"/>
        </w:rPr>
      </w:pPr>
    </w:p>
    <w:tbl>
      <w:tblPr>
        <w:tblStyle w:val="16"/>
        <w:tblW w:w="5000" w:type="pct"/>
        <w:tblInd w:w="-108" w:type="dxa"/>
        <w:tblLayout w:type="autofit"/>
        <w:tblCellMar>
          <w:top w:w="0" w:type="dxa"/>
          <w:left w:w="108" w:type="dxa"/>
          <w:bottom w:w="0" w:type="dxa"/>
          <w:right w:w="108" w:type="dxa"/>
        </w:tblCellMar>
      </w:tblPr>
      <w:tblGrid>
        <w:gridCol w:w="4261"/>
        <w:gridCol w:w="4261"/>
      </w:tblGrid>
      <w:tr w14:paraId="347B181A">
        <w:trPr>
          <w:trHeight w:val="787" w:hRule="atLeast"/>
        </w:trPr>
        <w:tc>
          <w:tcPr>
            <w:tcW w:w="4927" w:type="dxa"/>
            <w:tcBorders>
              <w:top w:val="nil"/>
              <w:left w:val="nil"/>
              <w:bottom w:val="nil"/>
              <w:right w:val="nil"/>
            </w:tcBorders>
            <w:noWrap w:val="0"/>
            <w:vAlign w:val="top"/>
          </w:tcPr>
          <w:p w14:paraId="269F76E3">
            <w:pPr>
              <w:spacing w:line="500" w:lineRule="exact"/>
              <w:ind w:firstLine="420"/>
              <w:jc w:val="left"/>
              <w:rPr>
                <w:rStyle w:val="34"/>
                <w:rFonts w:ascii="宋体" w:hAnsi="宋体" w:eastAsia="宋体" w:cs="宋体"/>
                <w:bCs/>
                <w:color w:val="auto"/>
                <w:sz w:val="24"/>
                <w:szCs w:val="24"/>
                <w:highlight w:val="none"/>
              </w:rPr>
            </w:pPr>
            <w:r>
              <w:rPr>
                <w:rStyle w:val="34"/>
                <w:rFonts w:ascii="宋体" w:hAnsi="宋体" w:eastAsia="宋体" w:cs="宋体"/>
                <w:bCs/>
                <w:color w:val="auto"/>
                <w:sz w:val="24"/>
                <w:szCs w:val="24"/>
                <w:highlight w:val="none"/>
              </w:rPr>
              <w:t>甲方：(章)</w:t>
            </w:r>
          </w:p>
        </w:tc>
        <w:tc>
          <w:tcPr>
            <w:tcW w:w="4927" w:type="dxa"/>
            <w:tcBorders>
              <w:top w:val="nil"/>
              <w:left w:val="nil"/>
              <w:bottom w:val="nil"/>
              <w:right w:val="nil"/>
            </w:tcBorders>
            <w:noWrap w:val="0"/>
            <w:vAlign w:val="top"/>
          </w:tcPr>
          <w:p w14:paraId="022E6C8F">
            <w:pPr>
              <w:spacing w:line="500" w:lineRule="exact"/>
              <w:ind w:firstLine="420"/>
              <w:jc w:val="left"/>
              <w:rPr>
                <w:rStyle w:val="34"/>
                <w:rFonts w:ascii="宋体" w:hAnsi="宋体" w:eastAsia="宋体" w:cs="宋体"/>
                <w:bCs/>
                <w:color w:val="auto"/>
                <w:sz w:val="24"/>
                <w:szCs w:val="24"/>
                <w:highlight w:val="none"/>
              </w:rPr>
            </w:pPr>
            <w:r>
              <w:rPr>
                <w:rStyle w:val="34"/>
                <w:rFonts w:ascii="宋体" w:hAnsi="宋体" w:eastAsia="宋体" w:cs="宋体"/>
                <w:bCs/>
                <w:color w:val="auto"/>
                <w:sz w:val="24"/>
                <w:szCs w:val="24"/>
                <w:highlight w:val="none"/>
              </w:rPr>
              <w:t>乙方：(章)</w:t>
            </w:r>
          </w:p>
        </w:tc>
      </w:tr>
      <w:tr w14:paraId="4EA5F149">
        <w:tblPrEx>
          <w:tblCellMar>
            <w:top w:w="0" w:type="dxa"/>
            <w:left w:w="108" w:type="dxa"/>
            <w:bottom w:w="0" w:type="dxa"/>
            <w:right w:w="108" w:type="dxa"/>
          </w:tblCellMar>
        </w:tblPrEx>
        <w:trPr>
          <w:trHeight w:val="907" w:hRule="atLeast"/>
        </w:trPr>
        <w:tc>
          <w:tcPr>
            <w:tcW w:w="4927" w:type="dxa"/>
            <w:tcBorders>
              <w:top w:val="nil"/>
              <w:left w:val="nil"/>
              <w:bottom w:val="nil"/>
              <w:right w:val="nil"/>
            </w:tcBorders>
            <w:noWrap w:val="0"/>
            <w:vAlign w:val="top"/>
          </w:tcPr>
          <w:p w14:paraId="05558993">
            <w:pPr>
              <w:spacing w:line="500" w:lineRule="exact"/>
              <w:ind w:firstLine="420"/>
              <w:jc w:val="left"/>
              <w:rPr>
                <w:rStyle w:val="34"/>
                <w:rFonts w:ascii="宋体" w:hAnsi="宋体" w:eastAsia="宋体" w:cs="宋体"/>
                <w:bCs/>
                <w:color w:val="auto"/>
                <w:sz w:val="24"/>
                <w:szCs w:val="24"/>
                <w:highlight w:val="none"/>
              </w:rPr>
            </w:pPr>
            <w:r>
              <w:rPr>
                <w:rStyle w:val="34"/>
                <w:rFonts w:ascii="宋体" w:hAnsi="宋体" w:eastAsia="宋体" w:cs="宋体"/>
                <w:bCs/>
                <w:color w:val="auto"/>
                <w:sz w:val="24"/>
                <w:szCs w:val="24"/>
                <w:highlight w:val="none"/>
              </w:rPr>
              <w:t>法定代表人或</w:t>
            </w:r>
          </w:p>
          <w:p w14:paraId="14473290">
            <w:pPr>
              <w:spacing w:line="500" w:lineRule="exact"/>
              <w:ind w:firstLine="420"/>
              <w:jc w:val="left"/>
              <w:rPr>
                <w:rStyle w:val="34"/>
                <w:rFonts w:ascii="宋体" w:hAnsi="宋体" w:eastAsia="宋体" w:cs="宋体"/>
                <w:bCs/>
                <w:color w:val="auto"/>
                <w:sz w:val="24"/>
                <w:szCs w:val="24"/>
                <w:highlight w:val="none"/>
              </w:rPr>
            </w:pPr>
            <w:r>
              <w:rPr>
                <w:rStyle w:val="34"/>
                <w:rFonts w:ascii="宋体" w:hAnsi="宋体" w:eastAsia="宋体" w:cs="宋体"/>
                <w:bCs/>
                <w:color w:val="auto"/>
                <w:sz w:val="24"/>
                <w:szCs w:val="24"/>
                <w:highlight w:val="none"/>
              </w:rPr>
              <w:t>其委托代理人：(签字)</w:t>
            </w:r>
          </w:p>
        </w:tc>
        <w:tc>
          <w:tcPr>
            <w:tcW w:w="4927" w:type="dxa"/>
            <w:tcBorders>
              <w:top w:val="nil"/>
              <w:left w:val="nil"/>
              <w:bottom w:val="nil"/>
              <w:right w:val="nil"/>
            </w:tcBorders>
            <w:noWrap w:val="0"/>
            <w:vAlign w:val="top"/>
          </w:tcPr>
          <w:p w14:paraId="0DC9B7F2">
            <w:pPr>
              <w:spacing w:line="500" w:lineRule="exact"/>
              <w:ind w:firstLine="420"/>
              <w:jc w:val="left"/>
              <w:rPr>
                <w:rStyle w:val="34"/>
                <w:rFonts w:ascii="宋体" w:hAnsi="宋体" w:eastAsia="宋体" w:cs="宋体"/>
                <w:bCs/>
                <w:color w:val="auto"/>
                <w:sz w:val="24"/>
                <w:szCs w:val="24"/>
                <w:highlight w:val="none"/>
              </w:rPr>
            </w:pPr>
            <w:r>
              <w:rPr>
                <w:rStyle w:val="34"/>
                <w:rFonts w:ascii="宋体" w:hAnsi="宋体" w:eastAsia="宋体" w:cs="宋体"/>
                <w:bCs/>
                <w:color w:val="auto"/>
                <w:sz w:val="24"/>
                <w:szCs w:val="24"/>
                <w:highlight w:val="none"/>
              </w:rPr>
              <w:t>法定代表人或</w:t>
            </w:r>
          </w:p>
          <w:p w14:paraId="68F0BE53">
            <w:pPr>
              <w:spacing w:line="500" w:lineRule="exact"/>
              <w:ind w:firstLine="420"/>
              <w:jc w:val="left"/>
              <w:rPr>
                <w:rStyle w:val="34"/>
                <w:rFonts w:ascii="宋体" w:hAnsi="宋体" w:eastAsia="宋体" w:cs="宋体"/>
                <w:bCs/>
                <w:color w:val="auto"/>
                <w:sz w:val="24"/>
                <w:szCs w:val="24"/>
                <w:highlight w:val="none"/>
              </w:rPr>
            </w:pPr>
            <w:r>
              <w:rPr>
                <w:rStyle w:val="34"/>
                <w:rFonts w:ascii="宋体" w:hAnsi="宋体" w:eastAsia="宋体" w:cs="宋体"/>
                <w:bCs/>
                <w:color w:val="auto"/>
                <w:sz w:val="24"/>
                <w:szCs w:val="24"/>
                <w:highlight w:val="none"/>
              </w:rPr>
              <w:t>其委托代理人：(签字)</w:t>
            </w:r>
          </w:p>
        </w:tc>
      </w:tr>
      <w:tr w14:paraId="4D7ED15C">
        <w:tblPrEx>
          <w:tblCellMar>
            <w:top w:w="0" w:type="dxa"/>
            <w:left w:w="108" w:type="dxa"/>
            <w:bottom w:w="0" w:type="dxa"/>
            <w:right w:w="108" w:type="dxa"/>
          </w:tblCellMar>
        </w:tblPrEx>
        <w:trPr>
          <w:trHeight w:val="907" w:hRule="atLeast"/>
        </w:trPr>
        <w:tc>
          <w:tcPr>
            <w:tcW w:w="4927" w:type="dxa"/>
            <w:tcBorders>
              <w:top w:val="nil"/>
              <w:left w:val="nil"/>
              <w:bottom w:val="nil"/>
              <w:right w:val="nil"/>
            </w:tcBorders>
            <w:noWrap w:val="0"/>
            <w:vAlign w:val="bottom"/>
          </w:tcPr>
          <w:p w14:paraId="5772D494">
            <w:pPr>
              <w:spacing w:line="500" w:lineRule="exact"/>
              <w:ind w:firstLine="2580"/>
              <w:jc w:val="left"/>
              <w:rPr>
                <w:rStyle w:val="34"/>
                <w:rFonts w:ascii="宋体" w:hAnsi="宋体" w:eastAsia="宋体" w:cs="宋体"/>
                <w:bCs/>
                <w:color w:val="auto"/>
                <w:sz w:val="24"/>
                <w:szCs w:val="24"/>
                <w:highlight w:val="none"/>
              </w:rPr>
            </w:pPr>
            <w:r>
              <w:rPr>
                <w:rStyle w:val="34"/>
                <w:rFonts w:ascii="宋体" w:hAnsi="宋体" w:eastAsia="宋体" w:cs="宋体"/>
                <w:bCs/>
                <w:color w:val="auto"/>
                <w:sz w:val="24"/>
                <w:szCs w:val="24"/>
                <w:highlight w:val="none"/>
              </w:rPr>
              <w:t>年</w:t>
            </w:r>
            <w:r>
              <w:rPr>
                <w:rStyle w:val="34"/>
                <w:rFonts w:ascii="宋体" w:hAnsi="宋体" w:eastAsia="宋体" w:cs="宋体"/>
                <w:bCs/>
                <w:color w:val="auto"/>
                <w:sz w:val="24"/>
                <w:szCs w:val="24"/>
                <w:highlight w:val="none"/>
              </w:rPr>
              <w:tab/>
            </w:r>
            <w:r>
              <w:rPr>
                <w:rStyle w:val="34"/>
                <w:rFonts w:hint="eastAsia" w:ascii="宋体" w:hAnsi="宋体" w:eastAsia="宋体" w:cs="宋体"/>
                <w:bCs/>
                <w:color w:val="auto"/>
                <w:sz w:val="24"/>
                <w:szCs w:val="24"/>
                <w:highlight w:val="none"/>
                <w:lang w:val="en-US" w:eastAsia="zh-CN"/>
              </w:rPr>
              <w:t xml:space="preserve">   </w:t>
            </w:r>
            <w:r>
              <w:rPr>
                <w:rStyle w:val="34"/>
                <w:rFonts w:ascii="宋体" w:hAnsi="宋体" w:eastAsia="宋体" w:cs="宋体"/>
                <w:bCs/>
                <w:color w:val="auto"/>
                <w:sz w:val="24"/>
                <w:szCs w:val="24"/>
                <w:highlight w:val="none"/>
              </w:rPr>
              <w:t>月</w:t>
            </w:r>
            <w:r>
              <w:rPr>
                <w:rStyle w:val="34"/>
                <w:rFonts w:ascii="宋体" w:hAnsi="宋体" w:eastAsia="宋体" w:cs="宋体"/>
                <w:bCs/>
                <w:color w:val="auto"/>
                <w:sz w:val="24"/>
                <w:szCs w:val="24"/>
                <w:highlight w:val="none"/>
              </w:rPr>
              <w:tab/>
            </w:r>
            <w:r>
              <w:rPr>
                <w:rStyle w:val="34"/>
                <w:rFonts w:ascii="宋体" w:hAnsi="宋体" w:eastAsia="宋体" w:cs="宋体"/>
                <w:bCs/>
                <w:color w:val="auto"/>
                <w:sz w:val="24"/>
                <w:szCs w:val="24"/>
                <w:highlight w:val="none"/>
              </w:rPr>
              <w:t xml:space="preserve">  日</w:t>
            </w:r>
          </w:p>
        </w:tc>
        <w:tc>
          <w:tcPr>
            <w:tcW w:w="4927" w:type="dxa"/>
            <w:tcBorders>
              <w:top w:val="nil"/>
              <w:left w:val="nil"/>
              <w:bottom w:val="nil"/>
              <w:right w:val="nil"/>
            </w:tcBorders>
            <w:noWrap w:val="0"/>
            <w:vAlign w:val="bottom"/>
          </w:tcPr>
          <w:p w14:paraId="47396085">
            <w:pPr>
              <w:spacing w:line="500" w:lineRule="exact"/>
              <w:ind w:firstLine="2580"/>
              <w:jc w:val="left"/>
              <w:rPr>
                <w:rStyle w:val="34"/>
                <w:rFonts w:ascii="宋体" w:hAnsi="宋体" w:eastAsia="宋体" w:cs="宋体"/>
                <w:bCs/>
                <w:color w:val="auto"/>
                <w:sz w:val="24"/>
                <w:szCs w:val="24"/>
                <w:highlight w:val="none"/>
              </w:rPr>
            </w:pPr>
            <w:r>
              <w:rPr>
                <w:rStyle w:val="34"/>
                <w:rFonts w:ascii="宋体" w:hAnsi="宋体" w:eastAsia="宋体" w:cs="宋体"/>
                <w:bCs/>
                <w:color w:val="auto"/>
                <w:sz w:val="24"/>
                <w:szCs w:val="24"/>
                <w:highlight w:val="none"/>
              </w:rPr>
              <w:t>年</w:t>
            </w:r>
            <w:r>
              <w:rPr>
                <w:rStyle w:val="34"/>
                <w:rFonts w:hint="eastAsia" w:ascii="宋体" w:hAnsi="宋体" w:eastAsia="宋体" w:cs="宋体"/>
                <w:bCs/>
                <w:color w:val="auto"/>
                <w:sz w:val="24"/>
                <w:szCs w:val="24"/>
                <w:highlight w:val="none"/>
                <w:lang w:val="en-US" w:eastAsia="zh-CN"/>
              </w:rPr>
              <w:t xml:space="preserve">  </w:t>
            </w:r>
            <w:r>
              <w:rPr>
                <w:rStyle w:val="34"/>
                <w:rFonts w:ascii="宋体" w:hAnsi="宋体" w:eastAsia="宋体" w:cs="宋体"/>
                <w:bCs/>
                <w:color w:val="auto"/>
                <w:sz w:val="24"/>
                <w:szCs w:val="24"/>
                <w:highlight w:val="none"/>
              </w:rPr>
              <w:tab/>
            </w:r>
            <w:r>
              <w:rPr>
                <w:rStyle w:val="34"/>
                <w:rFonts w:ascii="宋体" w:hAnsi="宋体" w:eastAsia="宋体" w:cs="宋体"/>
                <w:bCs/>
                <w:color w:val="auto"/>
                <w:sz w:val="24"/>
                <w:szCs w:val="24"/>
                <w:highlight w:val="none"/>
              </w:rPr>
              <w:t>月</w:t>
            </w:r>
            <w:r>
              <w:rPr>
                <w:rStyle w:val="34"/>
                <w:rFonts w:ascii="宋体" w:hAnsi="宋体" w:eastAsia="宋体" w:cs="宋体"/>
                <w:bCs/>
                <w:color w:val="auto"/>
                <w:sz w:val="24"/>
                <w:szCs w:val="24"/>
                <w:highlight w:val="none"/>
              </w:rPr>
              <w:tab/>
            </w:r>
            <w:r>
              <w:rPr>
                <w:rStyle w:val="34"/>
                <w:rFonts w:ascii="宋体" w:hAnsi="宋体" w:eastAsia="宋体" w:cs="宋体"/>
                <w:bCs/>
                <w:color w:val="auto"/>
                <w:sz w:val="24"/>
                <w:szCs w:val="24"/>
                <w:highlight w:val="none"/>
              </w:rPr>
              <w:t xml:space="preserve">  日</w:t>
            </w:r>
          </w:p>
        </w:tc>
      </w:tr>
    </w:tbl>
    <w:p w14:paraId="6F4E6F96">
      <w:pPr>
        <w:widowControl/>
        <w:jc w:val="left"/>
        <w:rPr>
          <w:rFonts w:hint="eastAsia" w:ascii="宋体" w:hAnsi="宋体" w:eastAsia="宋体" w:cs="宋体"/>
          <w:b/>
          <w:bCs/>
          <w:sz w:val="36"/>
          <w:szCs w:val="36"/>
        </w:rPr>
      </w:pPr>
      <w:r>
        <w:rPr>
          <w:rFonts w:hint="eastAsia" w:ascii="宋体" w:hAnsi="宋体" w:eastAsia="宋体" w:cs="宋体"/>
          <w:b/>
          <w:bCs/>
          <w:sz w:val="36"/>
          <w:szCs w:val="36"/>
        </w:rPr>
        <w:br w:type="page"/>
      </w:r>
    </w:p>
    <w:p w14:paraId="256C9151">
      <w:pPr>
        <w:widowControl/>
        <w:spacing w:line="500" w:lineRule="exact"/>
        <w:jc w:val="center"/>
        <w:rPr>
          <w:rFonts w:hint="eastAsia" w:ascii="宋体" w:hAnsi="宋体" w:eastAsia="宋体" w:cs="宋体"/>
          <w:b/>
          <w:sz w:val="36"/>
          <w:szCs w:val="36"/>
        </w:rPr>
      </w:pPr>
      <w:r>
        <w:rPr>
          <w:rFonts w:hint="eastAsia" w:ascii="宋体" w:hAnsi="宋体" w:eastAsia="宋体" w:cs="宋体"/>
          <w:b/>
          <w:sz w:val="36"/>
          <w:szCs w:val="36"/>
        </w:rPr>
        <w:t>廉政合同</w:t>
      </w:r>
    </w:p>
    <w:p w14:paraId="5875E6A6">
      <w:pPr>
        <w:spacing w:line="360" w:lineRule="auto"/>
        <w:rPr>
          <w:rFonts w:hint="eastAsia" w:ascii="宋体" w:hAnsi="宋体" w:eastAsia="宋体" w:cs="宋体"/>
          <w:sz w:val="20"/>
          <w:szCs w:val="22"/>
        </w:rPr>
      </w:pPr>
    </w:p>
    <w:p w14:paraId="6F67BF1D">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根据相关工程建设、廉政建设的规定，为做好工程建设中的党风廉政建设，保证工程建设高效优质，保证建设资金的安全和有效使用以及投资效益，(以下简称“甲方”)与(以下称“乙方”)，特订立如下合同。</w:t>
      </w:r>
    </w:p>
    <w:p w14:paraId="75D6825A">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第一条  甲乙双方的权利和义务</w:t>
      </w:r>
    </w:p>
    <w:p w14:paraId="1D7E51D4">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(一)严格遵守党和国家有关法律法规的有关规定。</w:t>
      </w:r>
    </w:p>
    <w:p w14:paraId="6A54F66E">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(二)严格执行合同文件，自觉按合同办事。</w:t>
      </w:r>
    </w:p>
    <w:p w14:paraId="07F0483F">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(三)双方的业务活动坚持公开、公正、诚信、透明的原则(除法律认定的商业秘密和合同文件另有规定之外)，不得损害国家和集体的利益，违反工程建设管理规章制度。</w:t>
      </w:r>
    </w:p>
    <w:p w14:paraId="24313572">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(四)建立健全廉政制度，开展廉政教育，设立廉政告示牌，公布举报电话，监督并认真查处违法违纪行为。</w:t>
      </w:r>
    </w:p>
    <w:p w14:paraId="63CD2895">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(五)发现对方在业务活动中有违反廉政规定的行为，有及时提醒对方纠正的权利和义务。</w:t>
      </w:r>
    </w:p>
    <w:p w14:paraId="49F74EF8">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(六)发现对方严重违反本合同义务条款的行为，有向其上级有关部门举报，建议给予处理并要求告知处理结果的权利。</w:t>
      </w:r>
    </w:p>
    <w:p w14:paraId="10C4B190">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七)本项目建设过程中，如发现乙方及其工作人员存在任何违法违纪违规行为，甲方有权向乙方上级有关部门举报、建议给予处理并要求告知处理结果；情节严重的，甲方有权视情节给予乙方经济处罚、暂停支付工程款、取消中标资格、中止合同的处罚，并建议盐城市有关主管部门禁止乙方一至三年内进入盐城市工程建设市场，涉嫌犯罪的，移送司法机关依法处理。</w:t>
      </w:r>
    </w:p>
    <w:p w14:paraId="7395F7C1">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八)本项目建设过程中，如发现甲方及其工作人员和受甲方委托从事招标代理、监理、跟踪审计等单位的人员存在“吃拿卡要”等违法违纪违规行为，有权在第一时间向盐南高新区纪工委口头或书面反映并要求告知处理结果。</w:t>
      </w:r>
    </w:p>
    <w:p w14:paraId="3396356E">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甲方的义务</w:t>
      </w:r>
    </w:p>
    <w:p w14:paraId="1CDE6133">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甲方及其工作人员和受甲方委托从事本项目招标代理、监理、跟踪审计等单位的人员不得索要或接受乙方的礼金、礼品、有价证券及回扣、好处费、感谢费等，不得在乙方报销任何应由甲方或其相关工作人员应当个人支付的费用等。</w:t>
      </w:r>
    </w:p>
    <w:p w14:paraId="46F0099B">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(二)甲方工作人员不得参加乙方安排的宴请、健身、旅游及娱乐活动，不得接受乙方提供的通讯工具、交通工具和高档办公用品以及通信充值卡、加油卡等。</w:t>
      </w:r>
    </w:p>
    <w:p w14:paraId="68A55315">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(三)甲方工作人员不得要求或者接受乙方为其汽车或住房装修、婚丧嫁娶活动、配偶子女的工作安排以及出国出境、旅游等提供方便等。</w:t>
      </w:r>
    </w:p>
    <w:p w14:paraId="3CC5F97B">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(四)甲方工作人员的配偶、子女不得从事与甲方工程有关的材料设备供应，工程分包、劳务等经济活动等。</w:t>
      </w:r>
    </w:p>
    <w:p w14:paraId="38AFED96">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(五)甲方及其工作人员不得以任何理由向乙方推荐分包单位，不得要求乙方购买合同规定外的材料和设备。</w:t>
      </w:r>
    </w:p>
    <w:p w14:paraId="658CD137">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乙方义务</w:t>
      </w:r>
    </w:p>
    <w:p w14:paraId="426679BE">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乙方不得以任何理由向甲方及其工作人员和受甲方委托从事招标代理、监理、跟踪审计等单位的人员行贿、馈赠礼金、礼品、有价证券及给予回扣、好处费、感谢费等，不得以任何名义为上述人员报销应由其单位或个人支付的任何费用。</w:t>
      </w:r>
    </w:p>
    <w:p w14:paraId="11A9B121">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(二)乙方不得以任何理由安排上述人员参加宴请、健身、旅游及娱乐等活动。</w:t>
      </w:r>
    </w:p>
    <w:p w14:paraId="73A59552">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(三)乙方不得为甲方单位和个人购置或提供通讯工具、交通工具和高档办公用品以及通信充值卡、加油卡等。</w:t>
      </w:r>
    </w:p>
    <w:p w14:paraId="685C263B">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(四)乙方不得为上述人员提供汽车或住房等装修；不得为上述人员的婚丧嫁娶、配偶子女的工作安排以及出国出境、旅游等提供方便。</w:t>
      </w:r>
    </w:p>
    <w:p w14:paraId="0F28DB1C">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(五)乙方愿意以工程合同总工作量的1%作为廉政保证金。</w:t>
      </w:r>
    </w:p>
    <w:p w14:paraId="10C0E675">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第二条  违约责任</w:t>
      </w:r>
    </w:p>
    <w:p w14:paraId="1DBE467D">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(一)甲方及其工作人员违反本合同第一、二条，按管理权限，依据有关规定给予党纪、政纪或组织处理，涉嫌犯罪的，移交司法机关追究刑事责任；给乙方单位造成经济损失的，应予以赔偿。</w:t>
      </w:r>
    </w:p>
    <w:p w14:paraId="2113902C">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乙方及其工作人员违反本合同第一、三条，给甲方造成经济损失的，应予以赔偿；导致甲方人员受到党纪、政纪或组织处理的，甲方给予乙方至少二年内不得参与其公司内部分包工程建设并没收廉政保证金(甲方在质保金中直接扣除)的处罚。</w:t>
      </w:r>
    </w:p>
    <w:p w14:paraId="57143678">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第三条  双方约定：本合同由双方或双方上级单位的纪检检查机关负责监督。甲方或甲方上级单位的纪检监察机关约请乙方或乙方上级单位纪检监察机关对本合同履行情况进行检查，提出在本合同规定范围内的裁定意见。</w:t>
      </w:r>
    </w:p>
    <w:p w14:paraId="6C34E385">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第四条  本合同有效期为甲乙双方签署之日起至该工程项目竣工验收后为止。</w:t>
      </w:r>
    </w:p>
    <w:p w14:paraId="71BA1F73">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第五条  本合同作为工程施工合同的附件，合同份数与本主合同的约定相同，与合同具有同等的法律效力，由双方法定代表人或其授权的代理人签署与加盖公章后生效，全部工程竣工验收后失效。</w:t>
      </w:r>
    </w:p>
    <w:p w14:paraId="3C5DD7FA">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p>
    <w:p w14:paraId="4A4C9AE4">
      <w:pPr>
        <w:spacing w:line="360" w:lineRule="auto"/>
        <w:rPr>
          <w:rFonts w:hint="eastAsia" w:ascii="宋体" w:hAnsi="宋体" w:eastAsia="宋体" w:cs="宋体"/>
          <w:sz w:val="20"/>
          <w:szCs w:val="22"/>
        </w:rPr>
      </w:pPr>
    </w:p>
    <w:tbl>
      <w:tblPr>
        <w:tblStyle w:val="16"/>
        <w:tblW w:w="5000" w:type="pct"/>
        <w:tblInd w:w="0" w:type="dxa"/>
        <w:tblLayout w:type="autofit"/>
        <w:tblCellMar>
          <w:top w:w="0" w:type="dxa"/>
          <w:left w:w="108" w:type="dxa"/>
          <w:bottom w:w="0" w:type="dxa"/>
          <w:right w:w="108" w:type="dxa"/>
        </w:tblCellMar>
      </w:tblPr>
      <w:tblGrid>
        <w:gridCol w:w="4261"/>
        <w:gridCol w:w="4261"/>
      </w:tblGrid>
      <w:tr w14:paraId="56ADA395">
        <w:tblPrEx>
          <w:tblCellMar>
            <w:top w:w="0" w:type="dxa"/>
            <w:left w:w="108" w:type="dxa"/>
            <w:bottom w:w="0" w:type="dxa"/>
            <w:right w:w="108" w:type="dxa"/>
          </w:tblCellMar>
        </w:tblPrEx>
        <w:trPr>
          <w:trHeight w:val="1134" w:hRule="atLeast"/>
        </w:trPr>
        <w:tc>
          <w:tcPr>
            <w:tcW w:w="4927" w:type="dxa"/>
          </w:tcPr>
          <w:p w14:paraId="7FF8477E">
            <w:pPr>
              <w:autoSpaceDE w:val="0"/>
              <w:autoSpaceDN w:val="0"/>
              <w:adjustRightInd w:val="0"/>
              <w:snapToGrid w:val="0"/>
              <w:spacing w:line="360" w:lineRule="auto"/>
              <w:rPr>
                <w:rFonts w:hint="eastAsia" w:ascii="宋体" w:hAnsi="宋体" w:eastAsia="宋体" w:cs="宋体"/>
                <w:color w:val="000000" w:themeColor="text1"/>
                <w:sz w:val="20"/>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甲方：(章)</w:t>
            </w:r>
          </w:p>
        </w:tc>
        <w:tc>
          <w:tcPr>
            <w:tcW w:w="4927" w:type="dxa"/>
          </w:tcPr>
          <w:p w14:paraId="5CEC2DDF">
            <w:pPr>
              <w:autoSpaceDE w:val="0"/>
              <w:autoSpaceDN w:val="0"/>
              <w:adjustRightInd w:val="0"/>
              <w:snapToGrid w:val="0"/>
              <w:spacing w:line="360" w:lineRule="auto"/>
              <w:rPr>
                <w:rFonts w:hint="eastAsia" w:ascii="宋体" w:hAnsi="宋体" w:eastAsia="宋体" w:cs="宋体"/>
                <w:color w:val="000000" w:themeColor="text1"/>
                <w:sz w:val="20"/>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乙方：(章)</w:t>
            </w:r>
          </w:p>
        </w:tc>
      </w:tr>
      <w:tr w14:paraId="21B7DE2E">
        <w:tblPrEx>
          <w:tblCellMar>
            <w:top w:w="0" w:type="dxa"/>
            <w:left w:w="108" w:type="dxa"/>
            <w:bottom w:w="0" w:type="dxa"/>
            <w:right w:w="108" w:type="dxa"/>
          </w:tblCellMar>
        </w:tblPrEx>
        <w:trPr>
          <w:trHeight w:val="1134" w:hRule="atLeast"/>
        </w:trPr>
        <w:tc>
          <w:tcPr>
            <w:tcW w:w="4927" w:type="dxa"/>
          </w:tcPr>
          <w:p w14:paraId="5B134FDD">
            <w:pPr>
              <w:autoSpaceDE w:val="0"/>
              <w:autoSpaceDN w:val="0"/>
              <w:adjustRightInd w:val="0"/>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法定代表人或</w:t>
            </w:r>
          </w:p>
          <w:p w14:paraId="236FEC9A">
            <w:pPr>
              <w:autoSpaceDE w:val="0"/>
              <w:autoSpaceDN w:val="0"/>
              <w:adjustRightInd w:val="0"/>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其委托代理人：(签字)</w:t>
            </w:r>
          </w:p>
        </w:tc>
        <w:tc>
          <w:tcPr>
            <w:tcW w:w="4927" w:type="dxa"/>
          </w:tcPr>
          <w:p w14:paraId="1ECE553D">
            <w:pPr>
              <w:autoSpaceDE w:val="0"/>
              <w:autoSpaceDN w:val="0"/>
              <w:adjustRightInd w:val="0"/>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法定代表人或</w:t>
            </w:r>
          </w:p>
          <w:p w14:paraId="4DF3D81E">
            <w:pPr>
              <w:autoSpaceDE w:val="0"/>
              <w:autoSpaceDN w:val="0"/>
              <w:adjustRightInd w:val="0"/>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其委托代理人：(签字)</w:t>
            </w:r>
          </w:p>
        </w:tc>
      </w:tr>
      <w:tr w14:paraId="331AD892">
        <w:tblPrEx>
          <w:tblCellMar>
            <w:top w:w="0" w:type="dxa"/>
            <w:left w:w="108" w:type="dxa"/>
            <w:bottom w:w="0" w:type="dxa"/>
            <w:right w:w="108" w:type="dxa"/>
          </w:tblCellMar>
        </w:tblPrEx>
        <w:trPr>
          <w:trHeight w:val="1134" w:hRule="atLeast"/>
        </w:trPr>
        <w:tc>
          <w:tcPr>
            <w:tcW w:w="4927" w:type="dxa"/>
            <w:vAlign w:val="bottom"/>
          </w:tcPr>
          <w:p w14:paraId="5783ADAE">
            <w:pPr>
              <w:autoSpaceDE w:val="0"/>
              <w:autoSpaceDN w:val="0"/>
              <w:adjustRightInd w:val="0"/>
              <w:snapToGrid w:val="0"/>
              <w:spacing w:line="360" w:lineRule="auto"/>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  日</w:t>
            </w:r>
          </w:p>
        </w:tc>
        <w:tc>
          <w:tcPr>
            <w:tcW w:w="4927" w:type="dxa"/>
            <w:vAlign w:val="bottom"/>
          </w:tcPr>
          <w:p w14:paraId="20C77F86">
            <w:pPr>
              <w:autoSpaceDE w:val="0"/>
              <w:autoSpaceDN w:val="0"/>
              <w:adjustRightInd w:val="0"/>
              <w:snapToGrid w:val="0"/>
              <w:spacing w:line="360" w:lineRule="auto"/>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  日</w:t>
            </w:r>
          </w:p>
        </w:tc>
      </w:tr>
    </w:tbl>
    <w:p w14:paraId="4CB33953">
      <w:pPr>
        <w:spacing w:line="520" w:lineRule="exact"/>
        <w:rPr>
          <w:rFonts w:hint="eastAsia" w:ascii="宋体" w:hAnsi="宋体" w:eastAsia="宋体" w:cs="宋体"/>
          <w:sz w:val="44"/>
          <w:szCs w:val="44"/>
        </w:rPr>
      </w:pPr>
    </w:p>
    <w:p w14:paraId="17ADA404">
      <w:pPr>
        <w:pStyle w:val="9"/>
        <w:snapToGrid w:val="0"/>
        <w:spacing w:before="120" w:after="120" w:line="500" w:lineRule="exact"/>
        <w:ind w:firstLine="361" w:firstLineChars="100"/>
        <w:jc w:val="center"/>
        <w:rPr>
          <w:rFonts w:hint="eastAsia" w:ascii="宋体" w:hAnsi="宋体" w:eastAsia="宋体" w:cs="宋体"/>
          <w:b/>
          <w:bCs/>
          <w:sz w:val="36"/>
          <w:szCs w:val="36"/>
        </w:rPr>
      </w:pPr>
    </w:p>
    <w:p w14:paraId="29124AD1">
      <w:pPr>
        <w:pStyle w:val="9"/>
        <w:snapToGrid w:val="0"/>
        <w:spacing w:before="120" w:after="120" w:line="500" w:lineRule="exact"/>
        <w:ind w:firstLine="361" w:firstLineChars="100"/>
        <w:jc w:val="center"/>
        <w:rPr>
          <w:rFonts w:hint="eastAsia" w:ascii="宋体" w:hAnsi="宋体" w:eastAsia="宋体" w:cs="宋体"/>
          <w:b/>
          <w:bCs/>
          <w:sz w:val="36"/>
          <w:szCs w:val="36"/>
        </w:rPr>
      </w:pPr>
    </w:p>
    <w:p w14:paraId="19049F9F">
      <w:pPr>
        <w:pStyle w:val="9"/>
        <w:snapToGrid w:val="0"/>
        <w:spacing w:before="120" w:after="120" w:line="500" w:lineRule="exact"/>
        <w:ind w:firstLine="361" w:firstLineChars="100"/>
        <w:jc w:val="center"/>
        <w:rPr>
          <w:rFonts w:hint="eastAsia" w:ascii="宋体" w:hAnsi="宋体" w:eastAsia="宋体" w:cs="宋体"/>
          <w:b/>
          <w:bCs/>
          <w:sz w:val="36"/>
          <w:szCs w:val="36"/>
        </w:rPr>
      </w:pPr>
    </w:p>
    <w:p w14:paraId="4188D4D9">
      <w:pPr>
        <w:pStyle w:val="9"/>
        <w:snapToGrid w:val="0"/>
        <w:spacing w:before="120" w:after="120" w:line="500" w:lineRule="exact"/>
        <w:ind w:firstLine="361" w:firstLineChars="100"/>
        <w:jc w:val="center"/>
        <w:rPr>
          <w:rFonts w:hint="eastAsia" w:ascii="宋体" w:hAnsi="宋体" w:eastAsia="宋体" w:cs="宋体"/>
          <w:b/>
          <w:bCs/>
          <w:sz w:val="36"/>
          <w:szCs w:val="36"/>
        </w:rPr>
      </w:pPr>
    </w:p>
    <w:p w14:paraId="665E75A8">
      <w:pPr>
        <w:pStyle w:val="9"/>
        <w:snapToGrid w:val="0"/>
        <w:spacing w:before="120" w:after="120" w:line="500" w:lineRule="exact"/>
        <w:ind w:firstLine="361" w:firstLineChars="100"/>
        <w:jc w:val="center"/>
        <w:rPr>
          <w:rFonts w:hint="eastAsia" w:ascii="宋体" w:hAnsi="宋体" w:eastAsia="宋体" w:cs="宋体"/>
          <w:b/>
          <w:bCs/>
          <w:sz w:val="36"/>
          <w:szCs w:val="36"/>
        </w:rPr>
      </w:pPr>
    </w:p>
    <w:p w14:paraId="2F02766C">
      <w:pPr>
        <w:pStyle w:val="9"/>
        <w:snapToGrid w:val="0"/>
        <w:spacing w:before="120" w:after="120" w:line="500" w:lineRule="exact"/>
        <w:ind w:firstLine="361" w:firstLineChars="100"/>
        <w:jc w:val="center"/>
        <w:rPr>
          <w:rFonts w:hint="eastAsia" w:ascii="宋体" w:hAnsi="宋体" w:eastAsia="宋体" w:cs="宋体"/>
          <w:b/>
          <w:bCs/>
          <w:sz w:val="36"/>
          <w:szCs w:val="36"/>
        </w:rPr>
      </w:pPr>
    </w:p>
    <w:p w14:paraId="2426EF4E">
      <w:pPr>
        <w:pStyle w:val="9"/>
        <w:snapToGrid w:val="0"/>
        <w:spacing w:before="120" w:after="120" w:line="500" w:lineRule="exact"/>
        <w:ind w:firstLine="361" w:firstLineChars="100"/>
        <w:jc w:val="center"/>
        <w:rPr>
          <w:rFonts w:hint="eastAsia" w:ascii="宋体" w:hAnsi="宋体" w:eastAsia="宋体" w:cs="宋体"/>
          <w:b/>
          <w:bCs/>
          <w:sz w:val="36"/>
          <w:szCs w:val="36"/>
        </w:rPr>
      </w:pPr>
    </w:p>
    <w:p w14:paraId="2BFA83D2">
      <w:pPr>
        <w:pStyle w:val="9"/>
        <w:snapToGrid w:val="0"/>
        <w:spacing w:before="120" w:after="120" w:line="500" w:lineRule="exact"/>
        <w:ind w:firstLine="361" w:firstLineChars="100"/>
        <w:jc w:val="center"/>
        <w:rPr>
          <w:rFonts w:ascii="Times New Roman" w:hAnsi="Times New Roman" w:cs="Times New Roman"/>
          <w:b/>
          <w:bCs/>
          <w:sz w:val="36"/>
          <w:szCs w:val="36"/>
        </w:rPr>
      </w:pPr>
    </w:p>
    <w:p w14:paraId="51F54717">
      <w:pPr>
        <w:pStyle w:val="9"/>
        <w:snapToGrid w:val="0"/>
        <w:spacing w:before="120" w:after="120" w:line="500" w:lineRule="exact"/>
        <w:ind w:firstLine="361" w:firstLineChars="100"/>
        <w:jc w:val="center"/>
        <w:rPr>
          <w:rFonts w:ascii="Times New Roman" w:hAnsi="Times New Roman" w:cs="Times New Roman"/>
          <w:b/>
          <w:bCs/>
          <w:sz w:val="36"/>
          <w:szCs w:val="36"/>
        </w:rPr>
      </w:pPr>
    </w:p>
    <w:p w14:paraId="29A25C7D">
      <w:pPr>
        <w:pStyle w:val="9"/>
        <w:snapToGrid w:val="0"/>
        <w:spacing w:before="120" w:after="120" w:line="500" w:lineRule="exact"/>
        <w:ind w:firstLine="361" w:firstLineChars="100"/>
        <w:jc w:val="center"/>
        <w:rPr>
          <w:rFonts w:ascii="Times New Roman" w:hAnsi="Times New Roman" w:cs="Times New Roman"/>
          <w:b/>
          <w:bCs/>
          <w:sz w:val="36"/>
          <w:szCs w:val="36"/>
        </w:rPr>
      </w:pPr>
    </w:p>
    <w:p w14:paraId="77EC8F05">
      <w:pPr>
        <w:spacing w:line="520" w:lineRule="exact"/>
        <w:jc w:val="center"/>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安全生产合同</w:t>
      </w:r>
    </w:p>
    <w:p w14:paraId="785794A9">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为在</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合同的实施过程中创造安全、高效的施工环境，切实搞好本项目的安全管理工作，</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（以下简称“甲方”）与承包人</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（以下简称“乙方”）特此签订安全生产合同：</w:t>
      </w:r>
    </w:p>
    <w:p w14:paraId="3818A327">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一、甲方职责</w:t>
      </w:r>
    </w:p>
    <w:p w14:paraId="70D3C63C">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1、严格遵守国家有关安全生产的法律法规，认真执行工程承包合同中的有关安全要求。</w:t>
      </w:r>
    </w:p>
    <w:p w14:paraId="7E5A822A">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2、按照“安全第一、预防为主”和坚持“管生产必须管安全”的原则进行安全生产管理，做到生产与安全工作同时计划、布置、检查、总结和评比。</w:t>
      </w:r>
    </w:p>
    <w:p w14:paraId="2B0ADF3B">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3、重要的安全设施必须坚持与主体工程“三同时”的原则，即：同时设计，审批，同时施工，同时验收，投入使用。</w:t>
      </w:r>
    </w:p>
    <w:p w14:paraId="32C995A7">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4、定期召开安全生产调度会，及时传达中央及地方有关安全生产的精神。</w:t>
      </w:r>
    </w:p>
    <w:p w14:paraId="2139B56A">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5、组织对乙方施工现场安全生产检查，监督乙方及时处理发现的各种安全隐患。</w:t>
      </w:r>
    </w:p>
    <w:p w14:paraId="7126C9C2">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二、乙方职责</w:t>
      </w:r>
    </w:p>
    <w:p w14:paraId="2489AB09">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1、严格遵守国家有关安全生产的法律法规有关安全生产的规定，认真执行工程承包合同中的有关安全要求。</w:t>
      </w:r>
    </w:p>
    <w:p w14:paraId="50A7AA2B">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练和遵守本条款的各项规定。做到生产与安全工作同时计划、布置、检查、总结和评比。</w:t>
      </w:r>
    </w:p>
    <w:p w14:paraId="4C46E45B">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14:paraId="5B22BEA8">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4、乙方在任何时候都应采取各种合理的预防措施，防止其员工发生任何违法、违禁、暴力或妨碍治安的行为。</w:t>
      </w:r>
    </w:p>
    <w:p w14:paraId="52F4604E">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必须具有劳动安全管理部门颁发的安全生产证书，参加施工的项目经理及其他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4EBA05FF">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25A1D09C">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7、操作人员上岗，必须按规定穿戴防护用品。施工负责人和安全检查员应随时检查劳动防护用品的穿戴情况，不按规定穿戴防护用品的人员不得上岗。</w:t>
      </w:r>
    </w:p>
    <w:p w14:paraId="64AED3F8">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8、所有施工机具设备和高空作业的设备均应定期检查，并有安全员的签字记录，保证其经常处于完好状态；不合格的机具、设备和劳动保护用品严禁使用。</w:t>
      </w:r>
    </w:p>
    <w:p w14:paraId="23EF3519">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9、施工中采用新技术、新工艺、新设备、新材料时，必须制定相应的安全技术措施，施工现场必须具有相关的安全标志牌。</w:t>
      </w:r>
    </w:p>
    <w:p w14:paraId="1F9F557C">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10、乙方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w:t>
      </w:r>
    </w:p>
    <w:p w14:paraId="733C50A4">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三、违约责任</w:t>
      </w:r>
    </w:p>
    <w:p w14:paraId="0A2F8058">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如因甲方或乙方违约造成安全事故，将依法追究责任。</w:t>
      </w:r>
    </w:p>
    <w:p w14:paraId="73032B75">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本合同作为主合同附件，合同份数与本主合同的约定相同，与施工合同具有同等的法律效力，由双方法定代表人或其授权的代理人签署与加盖公章后生效，全部工程竣工验收后失效。</w:t>
      </w:r>
    </w:p>
    <w:p w14:paraId="77E02FD2">
      <w:pPr>
        <w:spacing w:line="520" w:lineRule="exact"/>
        <w:ind w:firstLine="480" w:firstLineChars="200"/>
        <w:rPr>
          <w:rFonts w:ascii="宋体" w:hAnsi="宋体" w:eastAsia="宋体" w:cs="宋体"/>
          <w:color w:val="auto"/>
          <w:sz w:val="24"/>
          <w:szCs w:val="24"/>
          <w:highlight w:val="none"/>
        </w:rPr>
      </w:pPr>
    </w:p>
    <w:p w14:paraId="45C2BF5D">
      <w:pPr>
        <w:pStyle w:val="10"/>
        <w:spacing w:line="240" w:lineRule="auto"/>
        <w:rPr>
          <w:rFonts w:ascii="宋体" w:hAnsi="宋体" w:eastAsia="宋体" w:cs="宋体"/>
          <w:color w:val="auto"/>
          <w:szCs w:val="24"/>
          <w:highlight w:val="none"/>
        </w:rPr>
      </w:pPr>
      <w:r>
        <w:rPr>
          <w:rFonts w:hint="eastAsia" w:ascii="宋体" w:hAnsi="宋体" w:eastAsia="宋体" w:cs="宋体"/>
          <w:color w:val="auto"/>
          <w:szCs w:val="24"/>
          <w:highlight w:val="none"/>
        </w:rPr>
        <w:t>甲方单位：（盖章）                   乙方单位：（盖章）</w:t>
      </w:r>
    </w:p>
    <w:p w14:paraId="3401BD39">
      <w:pPr>
        <w:pStyle w:val="10"/>
        <w:spacing w:line="240" w:lineRule="auto"/>
        <w:ind w:left="836" w:leftChars="398" w:firstLine="0" w:firstLineChars="0"/>
        <w:rPr>
          <w:rFonts w:hint="eastAsia" w:ascii="宋体" w:hAnsi="宋体" w:eastAsia="宋体" w:cs="宋体"/>
          <w:color w:val="auto"/>
          <w:szCs w:val="24"/>
          <w:highlight w:val="none"/>
          <w:lang w:eastAsia="zh-CN"/>
        </w:rPr>
      </w:pPr>
    </w:p>
    <w:p w14:paraId="1B746792">
      <w:pPr>
        <w:pStyle w:val="10"/>
        <w:spacing w:line="240" w:lineRule="auto"/>
        <w:rPr>
          <w:rFonts w:ascii="宋体" w:hAnsi="宋体" w:eastAsia="宋体" w:cs="宋体"/>
          <w:color w:val="auto"/>
          <w:szCs w:val="24"/>
          <w:highlight w:val="none"/>
        </w:rPr>
      </w:pPr>
      <w:r>
        <w:rPr>
          <w:rFonts w:hint="eastAsia" w:ascii="宋体" w:hAnsi="宋体" w:eastAsia="宋体" w:cs="宋体"/>
          <w:color w:val="auto"/>
          <w:szCs w:val="24"/>
          <w:highlight w:val="none"/>
        </w:rPr>
        <w:t>法定代表人：（签名）                 法定代表人：（签名）</w:t>
      </w:r>
    </w:p>
    <w:p w14:paraId="7BF03EEF">
      <w:pPr>
        <w:pStyle w:val="10"/>
        <w:spacing w:line="240" w:lineRule="auto"/>
        <w:ind w:left="357" w:leftChars="170"/>
        <w:rPr>
          <w:rFonts w:ascii="宋体" w:hAnsi="宋体" w:eastAsia="宋体" w:cs="宋体"/>
          <w:color w:val="auto"/>
          <w:szCs w:val="24"/>
          <w:highlight w:val="none"/>
        </w:rPr>
      </w:pPr>
    </w:p>
    <w:p w14:paraId="0EC4A0D8">
      <w:pPr>
        <w:pStyle w:val="10"/>
        <w:spacing w:line="240" w:lineRule="auto"/>
        <w:rPr>
          <w:rFonts w:ascii="宋体" w:hAnsi="宋体" w:eastAsia="宋体" w:cs="宋体"/>
          <w:color w:val="auto"/>
          <w:szCs w:val="24"/>
          <w:highlight w:val="none"/>
        </w:rPr>
      </w:pPr>
      <w:r>
        <w:rPr>
          <w:rFonts w:hint="eastAsia" w:ascii="宋体" w:hAnsi="宋体" w:eastAsia="宋体" w:cs="宋体"/>
          <w:color w:val="auto"/>
          <w:szCs w:val="24"/>
          <w:highlight w:val="none"/>
        </w:rPr>
        <w:t>或委托代理人：(签名)</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             或委托代理人：(签名)</w:t>
      </w:r>
    </w:p>
    <w:p w14:paraId="2E11529A">
      <w:pPr>
        <w:spacing w:line="240" w:lineRule="auto"/>
        <w:ind w:firstLine="240" w:firstLineChars="100"/>
        <w:rPr>
          <w:rFonts w:hint="eastAsia" w:ascii="宋体" w:hAnsi="宋体" w:eastAsia="宋体" w:cs="宋体"/>
          <w:color w:val="auto"/>
          <w:sz w:val="24"/>
          <w:szCs w:val="24"/>
          <w:highlight w:val="none"/>
        </w:rPr>
      </w:pPr>
    </w:p>
    <w:p w14:paraId="62564A7B">
      <w:pPr>
        <w:spacing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0B03393E">
      <w:pPr>
        <w:pStyle w:val="9"/>
        <w:snapToGrid w:val="0"/>
        <w:spacing w:before="120" w:after="120" w:line="500" w:lineRule="exact"/>
        <w:ind w:firstLine="361" w:firstLineChars="100"/>
        <w:jc w:val="center"/>
        <w:rPr>
          <w:rFonts w:ascii="Times New Roman" w:hAnsi="Times New Roman" w:cs="Times New Roman"/>
          <w:b/>
          <w:sz w:val="36"/>
          <w:szCs w:val="36"/>
        </w:rPr>
      </w:pPr>
      <w:r>
        <w:rPr>
          <w:rFonts w:ascii="Times New Roman" w:hAnsi="Times New Roman" w:cs="Times New Roman"/>
          <w:b/>
          <w:bCs/>
          <w:sz w:val="36"/>
          <w:szCs w:val="36"/>
        </w:rPr>
        <w:br w:type="page"/>
      </w:r>
    </w:p>
    <w:p w14:paraId="3E04FCAA">
      <w:pPr>
        <w:pStyle w:val="14"/>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highlight w:val="none"/>
        </w:rPr>
      </w:pPr>
      <w:r>
        <w:rPr>
          <w:rFonts w:hint="eastAsia" w:ascii="黑体" w:hAnsi="宋体" w:eastAsia="黑体" w:cs="黑体"/>
          <w:color w:val="000000"/>
          <w:sz w:val="44"/>
          <w:szCs w:val="44"/>
          <w:highlight w:val="none"/>
        </w:rPr>
        <w:t>第</w:t>
      </w:r>
      <w:bookmarkEnd w:id="173"/>
      <w:r>
        <w:rPr>
          <w:rFonts w:hint="eastAsia" w:ascii="黑体" w:hAnsi="宋体" w:eastAsia="黑体" w:cs="黑体"/>
          <w:color w:val="000000"/>
          <w:sz w:val="44"/>
          <w:szCs w:val="44"/>
          <w:highlight w:val="none"/>
        </w:rPr>
        <w:t>四章 采购需求</w:t>
      </w:r>
      <w:bookmarkEnd w:id="174"/>
      <w:bookmarkEnd w:id="175"/>
      <w:bookmarkEnd w:id="176"/>
      <w:bookmarkEnd w:id="177"/>
      <w:bookmarkEnd w:id="178"/>
    </w:p>
    <w:p w14:paraId="4A31F852">
      <w:pPr>
        <w:autoSpaceDE w:val="0"/>
        <w:autoSpaceDN w:val="0"/>
        <w:adjustRightInd w:val="0"/>
        <w:snapToGrid w:val="0"/>
        <w:spacing w:line="288"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一、 项目概况：</w:t>
      </w:r>
    </w:p>
    <w:p w14:paraId="6141A9EC">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1.1项目名称：</w:t>
      </w:r>
      <w:r>
        <w:rPr>
          <w:rFonts w:hint="eastAsia" w:ascii="宋体" w:hAnsi="宋体" w:eastAsia="宋体" w:cs="宋体"/>
          <w:color w:val="000000"/>
          <w:sz w:val="24"/>
          <w:szCs w:val="24"/>
          <w:highlight w:val="none"/>
          <w:lang w:val="en-US" w:eastAsia="zh-CN"/>
        </w:rPr>
        <w:t>2026-2028年盐南市容秩序管理外包服务项目（南海未来城、高铁站等重点标段）</w:t>
      </w:r>
    </w:p>
    <w:p w14:paraId="36192F61">
      <w:pPr>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1.2项目地点</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盐南高新区境内。</w:t>
      </w:r>
    </w:p>
    <w:p w14:paraId="15EAAC80">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1.3服务时间：</w:t>
      </w:r>
      <w:r>
        <w:rPr>
          <w:rFonts w:hint="eastAsia" w:ascii="宋体" w:hAnsi="宋体" w:eastAsia="宋体" w:cs="宋体"/>
          <w:color w:val="000000"/>
          <w:kern w:val="0"/>
          <w:sz w:val="24"/>
          <w:szCs w:val="24"/>
          <w:highlight w:val="none"/>
          <w:lang w:val="en-US" w:eastAsia="zh-CN" w:bidi="ar-SA"/>
        </w:rPr>
        <w:t>本项目服务期24个月（2026年  月  日至2028年  月  日），合同一年一签，每年服务合同期满</w:t>
      </w:r>
      <w:r>
        <w:rPr>
          <w:rFonts w:hint="eastAsia" w:ascii="宋体" w:hAnsi="宋体" w:eastAsia="宋体" w:cs="宋体"/>
          <w:color w:val="000000" w:themeColor="text1"/>
          <w:sz w:val="24"/>
          <w:szCs w:val="24"/>
          <w14:textFill>
            <w14:solidFill>
              <w14:schemeClr w14:val="tx1"/>
            </w14:solidFill>
          </w14:textFill>
        </w:rPr>
        <w:t>后并经采购人考核合格可续签本合同</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续签一次</w:t>
      </w:r>
      <w:r>
        <w:rPr>
          <w:rFonts w:hint="eastAsia" w:ascii="宋体" w:hAnsi="宋体" w:eastAsia="宋体" w:cs="宋体"/>
          <w:color w:val="000000" w:themeColor="text1"/>
          <w:sz w:val="24"/>
          <w:szCs w:val="24"/>
          <w14:textFill>
            <w14:solidFill>
              <w14:schemeClr w14:val="tx1"/>
            </w14:solidFill>
          </w14:textFill>
        </w:rPr>
        <w:t>；如经采购人考核不合格，采购人有权终止合同，重新组织招标。如因盐南高新技术产业开发区政府的城市管理工作管辖权的调整，采购人可无条件终止合同。注:服务期限内，经采购人考核服务质量达不到采购人要求</w:t>
      </w:r>
      <w:r>
        <w:rPr>
          <w:rFonts w:hint="eastAsia" w:ascii="宋体" w:hAnsi="宋体" w:eastAsia="宋体" w:cs="宋体"/>
          <w:color w:val="000000" w:themeColor="text1"/>
          <w:sz w:val="24"/>
          <w:szCs w:val="24"/>
          <w:lang w:eastAsia="zh-CN"/>
          <w14:textFill>
            <w14:solidFill>
              <w14:schemeClr w14:val="tx1"/>
            </w14:solidFill>
          </w14:textFill>
        </w:rPr>
        <w:t>或</w:t>
      </w:r>
      <w:r>
        <w:rPr>
          <w:rFonts w:hint="eastAsia" w:ascii="宋体" w:hAnsi="宋体" w:eastAsia="宋体" w:cs="宋体"/>
          <w:color w:val="000000" w:themeColor="text1"/>
          <w:sz w:val="24"/>
          <w:szCs w:val="24"/>
          <w14:textFill>
            <w14:solidFill>
              <w14:schemeClr w14:val="tx1"/>
            </w14:solidFill>
          </w14:textFill>
        </w:rPr>
        <w:t>不服从采购人安排的，采购人有权终止合同)。</w:t>
      </w:r>
    </w:p>
    <w:p w14:paraId="28DEF103">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1.4管理范围、人员配置及工作时间：</w:t>
      </w:r>
    </w:p>
    <w:p w14:paraId="7ED87A2B">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w:t>
      </w:r>
      <w:r>
        <w:rPr>
          <w:rFonts w:hint="eastAsia" w:ascii="宋体" w:hAnsi="宋体" w:eastAsia="宋体" w:cs="宋体"/>
          <w:color w:val="000000" w:themeColor="text1"/>
          <w:sz w:val="24"/>
          <w:szCs w:val="24"/>
          <w:highlight w:val="none"/>
          <w14:textFill>
            <w14:solidFill>
              <w14:schemeClr w14:val="tx1"/>
            </w14:solidFill>
          </w14:textFill>
        </w:rPr>
        <w:t>)管理范围：</w:t>
      </w:r>
      <w:r>
        <w:rPr>
          <w:rFonts w:hint="eastAsia" w:ascii="宋体" w:hAnsi="宋体" w:eastAsia="宋体" w:cs="宋体"/>
          <w:color w:val="000000" w:themeColor="text1"/>
          <w:sz w:val="24"/>
          <w:szCs w:val="24"/>
          <w:highlight w:val="none"/>
          <w:lang w:eastAsia="zh-CN"/>
          <w14:textFill>
            <w14:solidFill>
              <w14:schemeClr w14:val="tx1"/>
            </w14:solidFill>
          </w14:textFill>
        </w:rPr>
        <w:t>2026-2028年盐南市容秩序管理外包服务项目（南海未来城、高铁站等重点标段）</w:t>
      </w:r>
      <w:r>
        <w:rPr>
          <w:rStyle w:val="34"/>
          <w:rFonts w:hint="eastAsia" w:ascii="宋体" w:hAnsi="宋体" w:eastAsia="宋体" w:cs="宋体"/>
          <w:bCs/>
          <w:color w:val="auto"/>
          <w:sz w:val="24"/>
          <w:szCs w:val="24"/>
          <w:highlight w:val="none"/>
        </w:rPr>
        <w:t>具体要求详见项目需求</w:t>
      </w:r>
      <w:r>
        <w:rPr>
          <w:rFonts w:hint="eastAsia" w:ascii="宋体" w:hAnsi="宋体" w:eastAsia="宋体" w:cs="宋体"/>
          <w:color w:val="000000" w:themeColor="text1"/>
          <w:sz w:val="24"/>
          <w:szCs w:val="24"/>
          <w:highlight w:val="none"/>
          <w14:textFill>
            <w14:solidFill>
              <w14:schemeClr w14:val="tx1"/>
            </w14:solidFill>
          </w14:textFill>
        </w:rPr>
        <w:t>。</w:t>
      </w:r>
    </w:p>
    <w:p w14:paraId="41612FCA">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(二)人员配备要求：</w:t>
      </w:r>
    </w:p>
    <w:tbl>
      <w:tblPr>
        <w:tblStyle w:val="16"/>
        <w:tblW w:w="5000" w:type="pct"/>
        <w:jc w:val="center"/>
        <w:tblLayout w:type="fixed"/>
        <w:tblCellMar>
          <w:top w:w="0" w:type="dxa"/>
          <w:left w:w="108" w:type="dxa"/>
          <w:bottom w:w="0" w:type="dxa"/>
          <w:right w:w="108" w:type="dxa"/>
        </w:tblCellMar>
      </w:tblPr>
      <w:tblGrid>
        <w:gridCol w:w="1145"/>
        <w:gridCol w:w="1033"/>
        <w:gridCol w:w="613"/>
        <w:gridCol w:w="4781"/>
        <w:gridCol w:w="950"/>
      </w:tblGrid>
      <w:tr w14:paraId="55BDB6B5">
        <w:tblPrEx>
          <w:tblCellMar>
            <w:top w:w="0" w:type="dxa"/>
            <w:left w:w="108" w:type="dxa"/>
            <w:bottom w:w="0" w:type="dxa"/>
            <w:right w:w="108" w:type="dxa"/>
          </w:tblCellMar>
        </w:tblPrEx>
        <w:trPr>
          <w:trHeight w:val="567" w:hRule="atLeast"/>
          <w:jc w:val="center"/>
        </w:trPr>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2C4DC">
            <w:pPr>
              <w:widowControl/>
              <w:snapToGrid w:val="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rPr>
              <w:t>人员配置</w:t>
            </w:r>
          </w:p>
        </w:tc>
        <w:tc>
          <w:tcPr>
            <w:tcW w:w="11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676F3">
            <w:pPr>
              <w:widowControl/>
              <w:snapToGrid w:val="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rPr>
              <w:t>设置人数</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0206A">
            <w:pPr>
              <w:widowControl/>
              <w:snapToGrid w:val="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rPr>
              <w:t>性别</w:t>
            </w:r>
          </w:p>
        </w:tc>
        <w:tc>
          <w:tcPr>
            <w:tcW w:w="5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7C726">
            <w:pPr>
              <w:widowControl/>
              <w:snapToGrid w:val="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rPr>
              <w:t>要求</w:t>
            </w:r>
          </w:p>
        </w:tc>
        <w:tc>
          <w:tcPr>
            <w:tcW w:w="1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9AAB3">
            <w:pPr>
              <w:widowControl/>
              <w:snapToGrid w:val="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rPr>
              <w:t>备注</w:t>
            </w:r>
          </w:p>
        </w:tc>
      </w:tr>
      <w:tr w14:paraId="2FDDB357">
        <w:tblPrEx>
          <w:tblCellMar>
            <w:top w:w="0" w:type="dxa"/>
            <w:left w:w="108" w:type="dxa"/>
            <w:bottom w:w="0" w:type="dxa"/>
            <w:right w:w="108" w:type="dxa"/>
          </w:tblCellMar>
        </w:tblPrEx>
        <w:trPr>
          <w:trHeight w:val="567" w:hRule="atLeast"/>
          <w:jc w:val="center"/>
        </w:trPr>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877F8">
            <w:pPr>
              <w:widowControl/>
              <w:snapToGrid w:val="0"/>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项目经理</w:t>
            </w:r>
          </w:p>
        </w:tc>
        <w:tc>
          <w:tcPr>
            <w:tcW w:w="11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EA827">
            <w:pPr>
              <w:widowControl/>
              <w:snapToGrid w:val="0"/>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94518">
            <w:pPr>
              <w:widowControl/>
              <w:snapToGrid w:val="0"/>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男</w:t>
            </w:r>
          </w:p>
        </w:tc>
        <w:tc>
          <w:tcPr>
            <w:tcW w:w="5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5CF23">
            <w:pPr>
              <w:widowControl/>
              <w:snapToGrid w:val="0"/>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具有大专以上学历，熟悉政府相关法律以及管理条例，负责市容环境管理服务的各项工作。项目经理要求年龄在30-55周岁，具有3年以上市容环境管理服务的工作经验，签订合同前需提供相关证明材料。</w:t>
            </w:r>
          </w:p>
        </w:tc>
        <w:tc>
          <w:tcPr>
            <w:tcW w:w="1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4453A">
            <w:pPr>
              <w:snapToGrid w:val="0"/>
              <w:jc w:val="center"/>
              <w:rPr>
                <w:rFonts w:hint="eastAsia" w:ascii="宋体" w:hAnsi="宋体" w:eastAsia="宋体" w:cs="宋体"/>
                <w:color w:val="auto"/>
                <w:sz w:val="24"/>
                <w:szCs w:val="24"/>
                <w:highlight w:val="none"/>
              </w:rPr>
            </w:pPr>
          </w:p>
        </w:tc>
      </w:tr>
      <w:tr w14:paraId="79F51309">
        <w:tblPrEx>
          <w:tblCellMar>
            <w:top w:w="0" w:type="dxa"/>
            <w:left w:w="108" w:type="dxa"/>
            <w:bottom w:w="0" w:type="dxa"/>
            <w:right w:w="108" w:type="dxa"/>
          </w:tblCellMar>
        </w:tblPrEx>
        <w:trPr>
          <w:trHeight w:val="567" w:hRule="atLeast"/>
          <w:jc w:val="center"/>
        </w:trPr>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1C592">
            <w:pPr>
              <w:widowControl/>
              <w:snapToGrid w:val="0"/>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司机</w:t>
            </w:r>
          </w:p>
        </w:tc>
        <w:tc>
          <w:tcPr>
            <w:tcW w:w="11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A11D0">
            <w:pPr>
              <w:widowControl/>
              <w:snapToGrid w:val="0"/>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2</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E8033">
            <w:pPr>
              <w:widowControl/>
              <w:snapToGrid w:val="0"/>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男</w:t>
            </w:r>
          </w:p>
        </w:tc>
        <w:tc>
          <w:tcPr>
            <w:tcW w:w="5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76838">
            <w:pPr>
              <w:widowControl/>
              <w:snapToGrid w:val="0"/>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男性年龄要求在</w:t>
            </w:r>
            <w:r>
              <w:rPr>
                <w:rFonts w:hint="eastAsia" w:ascii="宋体" w:hAnsi="宋体" w:eastAsia="宋体" w:cs="宋体"/>
                <w:color w:val="auto"/>
                <w:kern w:val="0"/>
                <w:sz w:val="22"/>
                <w:szCs w:val="22"/>
                <w:highlight w:val="none"/>
                <w:lang w:eastAsia="zh-CN"/>
              </w:rPr>
              <w:t>法律规定退休年龄前有劳动能力者</w:t>
            </w:r>
            <w:r>
              <w:rPr>
                <w:rFonts w:hint="eastAsia" w:ascii="宋体" w:hAnsi="宋体" w:eastAsia="宋体" w:cs="宋体"/>
                <w:color w:val="auto"/>
                <w:kern w:val="0"/>
                <w:sz w:val="22"/>
                <w:szCs w:val="22"/>
                <w:highlight w:val="none"/>
              </w:rPr>
              <w:t>，身体健康、品行良好、责任心强、无违法纪录，持证上岗，有5年以上相关工作经验。</w:t>
            </w:r>
          </w:p>
        </w:tc>
        <w:tc>
          <w:tcPr>
            <w:tcW w:w="1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D3F60">
            <w:pPr>
              <w:snapToGrid w:val="0"/>
              <w:jc w:val="center"/>
              <w:rPr>
                <w:rFonts w:hint="eastAsia" w:ascii="宋体" w:hAnsi="宋体" w:eastAsia="宋体" w:cs="宋体"/>
                <w:color w:val="auto"/>
                <w:sz w:val="24"/>
                <w:szCs w:val="24"/>
                <w:highlight w:val="none"/>
              </w:rPr>
            </w:pPr>
          </w:p>
        </w:tc>
      </w:tr>
      <w:tr w14:paraId="18512B6E">
        <w:tblPrEx>
          <w:tblCellMar>
            <w:top w:w="0" w:type="dxa"/>
            <w:left w:w="108" w:type="dxa"/>
            <w:bottom w:w="0" w:type="dxa"/>
            <w:right w:w="108" w:type="dxa"/>
          </w:tblCellMar>
        </w:tblPrEx>
        <w:trPr>
          <w:trHeight w:val="567" w:hRule="atLeast"/>
          <w:jc w:val="center"/>
        </w:trPr>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655D3">
            <w:pPr>
              <w:widowControl/>
              <w:snapToGrid w:val="0"/>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路段长</w:t>
            </w:r>
          </w:p>
        </w:tc>
        <w:tc>
          <w:tcPr>
            <w:tcW w:w="11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61717">
            <w:pPr>
              <w:widowControl/>
              <w:snapToGrid w:val="0"/>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2</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92CC0">
            <w:pPr>
              <w:widowControl/>
              <w:snapToGrid w:val="0"/>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男</w:t>
            </w:r>
          </w:p>
        </w:tc>
        <w:tc>
          <w:tcPr>
            <w:tcW w:w="5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434B9">
            <w:pPr>
              <w:widowControl/>
              <w:snapToGrid w:val="0"/>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男性年龄要求在</w:t>
            </w:r>
            <w:r>
              <w:rPr>
                <w:rFonts w:hint="eastAsia" w:ascii="宋体" w:hAnsi="宋体" w:eastAsia="宋体" w:cs="宋体"/>
                <w:color w:val="auto"/>
                <w:kern w:val="0"/>
                <w:sz w:val="22"/>
                <w:szCs w:val="22"/>
                <w:highlight w:val="none"/>
                <w:lang w:eastAsia="zh-CN"/>
              </w:rPr>
              <w:t>法律规定退休年龄前有劳动能力者</w:t>
            </w:r>
            <w:r>
              <w:rPr>
                <w:rFonts w:hint="eastAsia" w:ascii="宋体" w:hAnsi="宋体" w:eastAsia="宋体" w:cs="宋体"/>
                <w:color w:val="auto"/>
                <w:kern w:val="0"/>
                <w:sz w:val="22"/>
                <w:szCs w:val="22"/>
                <w:highlight w:val="none"/>
              </w:rPr>
              <w:t>，身体健康、品行良好、责任心强、无违法纪录，高中以上学历。</w:t>
            </w:r>
          </w:p>
        </w:tc>
        <w:tc>
          <w:tcPr>
            <w:tcW w:w="1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C35CF">
            <w:pPr>
              <w:snapToGrid w:val="0"/>
              <w:jc w:val="center"/>
              <w:rPr>
                <w:rFonts w:hint="eastAsia" w:ascii="宋体" w:hAnsi="宋体" w:eastAsia="宋体" w:cs="宋体"/>
                <w:color w:val="auto"/>
                <w:sz w:val="24"/>
                <w:szCs w:val="24"/>
                <w:highlight w:val="none"/>
              </w:rPr>
            </w:pPr>
          </w:p>
        </w:tc>
      </w:tr>
      <w:tr w14:paraId="7B6CD872">
        <w:tblPrEx>
          <w:tblCellMar>
            <w:top w:w="0" w:type="dxa"/>
            <w:left w:w="108" w:type="dxa"/>
            <w:bottom w:w="0" w:type="dxa"/>
            <w:right w:w="108" w:type="dxa"/>
          </w:tblCellMar>
        </w:tblPrEx>
        <w:trPr>
          <w:trHeight w:val="567" w:hRule="atLeast"/>
          <w:jc w:val="center"/>
        </w:trPr>
        <w:tc>
          <w:tcPr>
            <w:tcW w:w="132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5746C">
            <w:pPr>
              <w:widowControl/>
              <w:snapToGrid w:val="0"/>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队员</w:t>
            </w:r>
          </w:p>
        </w:tc>
        <w:tc>
          <w:tcPr>
            <w:tcW w:w="11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17D83">
            <w:pPr>
              <w:widowControl/>
              <w:snapToGrid w:val="0"/>
              <w:jc w:val="center"/>
              <w:textAlignment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kern w:val="0"/>
                <w:sz w:val="22"/>
                <w:szCs w:val="22"/>
                <w:highlight w:val="none"/>
                <w:lang w:val="en-US" w:eastAsia="zh-CN"/>
              </w:rPr>
              <w:t>20</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D59A5">
            <w:pPr>
              <w:widowControl/>
              <w:snapToGrid w:val="0"/>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男</w:t>
            </w:r>
          </w:p>
        </w:tc>
        <w:tc>
          <w:tcPr>
            <w:tcW w:w="5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9799F">
            <w:pPr>
              <w:widowControl/>
              <w:snapToGrid w:val="0"/>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男性年龄要求在</w:t>
            </w:r>
            <w:r>
              <w:rPr>
                <w:rFonts w:hint="eastAsia" w:ascii="宋体" w:hAnsi="宋体" w:eastAsia="宋体" w:cs="宋体"/>
                <w:color w:val="auto"/>
                <w:kern w:val="0"/>
                <w:sz w:val="22"/>
                <w:szCs w:val="22"/>
                <w:highlight w:val="none"/>
                <w:lang w:eastAsia="zh-CN"/>
              </w:rPr>
              <w:t>法律规定退休年龄前有劳动能力者，</w:t>
            </w:r>
            <w:r>
              <w:rPr>
                <w:rFonts w:hint="eastAsia" w:ascii="宋体" w:hAnsi="宋体" w:eastAsia="宋体" w:cs="宋体"/>
                <w:color w:val="auto"/>
                <w:kern w:val="0"/>
                <w:sz w:val="22"/>
                <w:szCs w:val="22"/>
                <w:highlight w:val="none"/>
              </w:rPr>
              <w:t>身体健康、品行良好、责任心强、无违法纪录</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初中以上学历。</w:t>
            </w:r>
          </w:p>
        </w:tc>
        <w:tc>
          <w:tcPr>
            <w:tcW w:w="1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6E5B2">
            <w:pPr>
              <w:snapToGrid w:val="0"/>
              <w:jc w:val="center"/>
              <w:rPr>
                <w:rFonts w:hint="eastAsia" w:ascii="宋体" w:hAnsi="宋体" w:eastAsia="宋体" w:cs="宋体"/>
                <w:color w:val="auto"/>
                <w:sz w:val="24"/>
                <w:szCs w:val="24"/>
                <w:highlight w:val="none"/>
              </w:rPr>
            </w:pPr>
          </w:p>
        </w:tc>
      </w:tr>
      <w:tr w14:paraId="486FEF98">
        <w:tblPrEx>
          <w:tblCellMar>
            <w:top w:w="0" w:type="dxa"/>
            <w:left w:w="108" w:type="dxa"/>
            <w:bottom w:w="0" w:type="dxa"/>
            <w:right w:w="108" w:type="dxa"/>
          </w:tblCellMar>
        </w:tblPrEx>
        <w:trPr>
          <w:trHeight w:val="567" w:hRule="atLeast"/>
          <w:jc w:val="center"/>
        </w:trPr>
        <w:tc>
          <w:tcPr>
            <w:tcW w:w="13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F96AC">
            <w:pPr>
              <w:snapToGrid w:val="0"/>
              <w:jc w:val="center"/>
              <w:rPr>
                <w:rFonts w:hint="eastAsia" w:ascii="宋体" w:hAnsi="宋体" w:eastAsia="宋体" w:cs="宋体"/>
                <w:color w:val="auto"/>
                <w:sz w:val="22"/>
                <w:szCs w:val="22"/>
                <w:highlight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3DB34">
            <w:pPr>
              <w:widowControl/>
              <w:snapToGrid w:val="0"/>
              <w:jc w:val="center"/>
              <w:textAlignment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kern w:val="0"/>
                <w:sz w:val="22"/>
                <w:szCs w:val="22"/>
                <w:highlight w:val="none"/>
                <w:lang w:val="en-US" w:eastAsia="zh-CN"/>
              </w:rPr>
              <w:t>10</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82FF2">
            <w:pPr>
              <w:widowControl/>
              <w:snapToGrid w:val="0"/>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女</w:t>
            </w:r>
          </w:p>
        </w:tc>
        <w:tc>
          <w:tcPr>
            <w:tcW w:w="5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1DC31">
            <w:pPr>
              <w:widowControl/>
              <w:snapToGrid w:val="0"/>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女性年龄要求在</w:t>
            </w:r>
            <w:r>
              <w:rPr>
                <w:rFonts w:hint="eastAsia" w:ascii="宋体" w:hAnsi="宋体" w:eastAsia="宋体" w:cs="宋体"/>
                <w:color w:val="auto"/>
                <w:kern w:val="0"/>
                <w:sz w:val="22"/>
                <w:szCs w:val="22"/>
                <w:highlight w:val="none"/>
                <w:lang w:eastAsia="zh-CN"/>
              </w:rPr>
              <w:t>法律规定退休年龄前有劳动能力者，</w:t>
            </w:r>
            <w:r>
              <w:rPr>
                <w:rFonts w:hint="eastAsia" w:ascii="宋体" w:hAnsi="宋体" w:eastAsia="宋体" w:cs="宋体"/>
                <w:color w:val="auto"/>
                <w:kern w:val="0"/>
                <w:sz w:val="22"/>
                <w:szCs w:val="22"/>
                <w:highlight w:val="none"/>
              </w:rPr>
              <w:t>身体健康、品行良好、责任心强、无违法纪录</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初中以上学历。</w:t>
            </w:r>
          </w:p>
        </w:tc>
        <w:tc>
          <w:tcPr>
            <w:tcW w:w="1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B1A38">
            <w:pPr>
              <w:snapToGrid w:val="0"/>
              <w:jc w:val="center"/>
              <w:rPr>
                <w:rFonts w:hint="eastAsia" w:ascii="宋体" w:hAnsi="宋体" w:eastAsia="宋体" w:cs="宋体"/>
                <w:color w:val="auto"/>
                <w:sz w:val="24"/>
                <w:szCs w:val="24"/>
                <w:highlight w:val="none"/>
              </w:rPr>
            </w:pPr>
          </w:p>
        </w:tc>
      </w:tr>
      <w:tr w14:paraId="51D5E8E8">
        <w:tblPrEx>
          <w:tblCellMar>
            <w:top w:w="0" w:type="dxa"/>
            <w:left w:w="108" w:type="dxa"/>
            <w:bottom w:w="0" w:type="dxa"/>
            <w:right w:w="108" w:type="dxa"/>
          </w:tblCellMar>
        </w:tblPrEx>
        <w:trPr>
          <w:trHeight w:val="90" w:hRule="atLeast"/>
          <w:jc w:val="center"/>
        </w:trPr>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78FAD">
            <w:pPr>
              <w:widowControl/>
              <w:snapToGrid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总计</w:t>
            </w:r>
          </w:p>
        </w:tc>
        <w:tc>
          <w:tcPr>
            <w:tcW w:w="743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F647D0B">
            <w:pPr>
              <w:widowControl/>
              <w:snapToGrid w:val="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2"/>
                <w:szCs w:val="22"/>
                <w:highlight w:val="none"/>
                <w:lang w:val="en-US" w:eastAsia="zh-CN"/>
              </w:rPr>
              <w:t>35</w:t>
            </w:r>
          </w:p>
        </w:tc>
        <w:tc>
          <w:tcPr>
            <w:tcW w:w="1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19DDD">
            <w:pPr>
              <w:snapToGrid w:val="0"/>
              <w:jc w:val="center"/>
              <w:rPr>
                <w:rFonts w:hint="eastAsia" w:ascii="宋体" w:hAnsi="宋体" w:eastAsia="宋体" w:cs="宋体"/>
                <w:color w:val="auto"/>
                <w:sz w:val="24"/>
                <w:szCs w:val="24"/>
                <w:highlight w:val="none"/>
              </w:rPr>
            </w:pPr>
          </w:p>
        </w:tc>
      </w:tr>
    </w:tbl>
    <w:p w14:paraId="508FDAF5">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中标人必须按不少于上述人员的数量进行配置，否则采购人有权终止合同。</w:t>
      </w:r>
    </w:p>
    <w:p w14:paraId="493EA4AF">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注：本项目所有员工都在计算范围内，所有人员实发工资每月不得低于3500元。</w:t>
      </w:r>
    </w:p>
    <w:p w14:paraId="4678901B">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p>
    <w:p w14:paraId="4937550D">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(三)工作时间</w:t>
      </w:r>
    </w:p>
    <w:p w14:paraId="71C23730">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上班时间：夏季上午：6：00---晚上10：00</w:t>
      </w:r>
    </w:p>
    <w:p w14:paraId="71455C33">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冬季上午：6：00---晚上9：00</w:t>
      </w:r>
    </w:p>
    <w:p w14:paraId="28E22614">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可调配人员可用于早间、中午、晚间值班，保证上述时间段不能空岗。</w:t>
      </w:r>
    </w:p>
    <w:p w14:paraId="41E1AB55">
      <w:pPr>
        <w:keepNext w:val="0"/>
        <w:keepLines w:val="0"/>
        <w:pageBreakBefore w:val="0"/>
        <w:widowControl w:val="0"/>
        <w:numPr>
          <w:ilvl w:val="0"/>
          <w:numId w:val="3"/>
        </w:numPr>
        <w:kinsoku/>
        <w:wordWrap/>
        <w:overflowPunct/>
        <w:topLinePunct w:val="0"/>
        <w:bidi w:val="0"/>
        <w:spacing w:line="336" w:lineRule="auto"/>
        <w:ind w:firstLine="42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装备要求：包含机动车2辆、执法纪录仪</w:t>
      </w:r>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auto"/>
          <w:sz w:val="24"/>
          <w:szCs w:val="24"/>
          <w:highlight w:val="none"/>
        </w:rPr>
        <w:t>台、二轮电动车</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辆。装备所有权归中标人所有，使用权归采购人。</w:t>
      </w:r>
    </w:p>
    <w:p w14:paraId="29497849">
      <w:pPr>
        <w:keepNext w:val="0"/>
        <w:keepLines w:val="0"/>
        <w:pageBreakBefore w:val="0"/>
        <w:widowControl w:val="0"/>
        <w:kinsoku/>
        <w:wordWrap/>
        <w:overflowPunct/>
        <w:topLinePunct w:val="0"/>
        <w:autoSpaceDE w:val="0"/>
        <w:autoSpaceDN w:val="0"/>
        <w:bidi w:val="0"/>
        <w:adjustRightInd w:val="0"/>
        <w:snapToGrid w:val="0"/>
        <w:spacing w:line="336" w:lineRule="auto"/>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二、商务要求</w:t>
      </w:r>
    </w:p>
    <w:p w14:paraId="0A513306">
      <w:pPr>
        <w:pStyle w:val="26"/>
        <w:keepNext w:val="0"/>
        <w:keepLines w:val="0"/>
        <w:pageBreakBefore w:val="0"/>
        <w:widowControl w:val="0"/>
        <w:kinsoku/>
        <w:wordWrap/>
        <w:overflowPunct/>
        <w:topLinePunct w:val="0"/>
        <w:bidi w:val="0"/>
        <w:spacing w:line="336"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val="zh-CN"/>
        </w:rPr>
        <w:t>付款方式：</w:t>
      </w:r>
    </w:p>
    <w:p w14:paraId="3D84FC17">
      <w:pPr>
        <w:keepNext w:val="0"/>
        <w:keepLines w:val="0"/>
        <w:pageBreakBefore w:val="0"/>
        <w:widowControl w:val="0"/>
        <w:kinsoku/>
        <w:wordWrap/>
        <w:overflowPunct/>
        <w:topLinePunct w:val="0"/>
        <w:bidi w:val="0"/>
        <w:spacing w:line="336" w:lineRule="auto"/>
        <w:ind w:firstLine="480"/>
        <w:jc w:val="left"/>
        <w:textAlignment w:val="auto"/>
        <w:rPr>
          <w:rFonts w:hint="eastAsia" w:ascii="宋体" w:hAnsi="宋体" w:eastAsia="宋体" w:cs="宋体"/>
          <w:sz w:val="24"/>
          <w:szCs w:val="24"/>
          <w:highlight w:val="none"/>
          <w:lang w:val="zh-CN" w:eastAsia="zh-CN"/>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val="zh-CN"/>
        </w:rPr>
        <w:t>结算方式：</w:t>
      </w:r>
      <w:r>
        <w:rPr>
          <w:rFonts w:hint="eastAsia" w:ascii="宋体" w:hAnsi="宋体" w:eastAsia="宋体" w:cs="宋体"/>
          <w:sz w:val="24"/>
          <w:szCs w:val="24"/>
          <w:highlight w:val="none"/>
          <w:lang w:val="zh-CN" w:eastAsia="zh-CN"/>
        </w:rPr>
        <w:t>采购人应结算金额按中标供应商合同价结算。</w:t>
      </w:r>
    </w:p>
    <w:p w14:paraId="46160A39">
      <w:pPr>
        <w:pStyle w:val="14"/>
        <w:keepNext w:val="0"/>
        <w:keepLines w:val="0"/>
        <w:pageBreakBefore w:val="0"/>
        <w:widowControl w:val="0"/>
        <w:kinsoku/>
        <w:wordWrap/>
        <w:overflowPunct/>
        <w:topLinePunct w:val="0"/>
        <w:bidi w:val="0"/>
        <w:spacing w:beforeAutospacing="0" w:afterAutospacing="0" w:line="336" w:lineRule="auto"/>
        <w:ind w:firstLine="480"/>
        <w:jc w:val="both"/>
        <w:textAlignment w:val="auto"/>
        <w:rPr>
          <w:rFonts w:hint="eastAsia" w:ascii="宋体" w:hAnsi="宋体" w:eastAsia="宋体" w:cs="宋体"/>
          <w:b/>
          <w:bCs/>
          <w:color w:val="000000"/>
          <w:sz w:val="24"/>
        </w:rPr>
      </w:pPr>
      <w:r>
        <w:rPr>
          <w:rFonts w:hint="eastAsia" w:ascii="宋体" w:hAnsi="宋体" w:eastAsia="宋体" w:cs="宋体"/>
          <w:b/>
          <w:bCs/>
          <w:sz w:val="24"/>
          <w:szCs w:val="24"/>
          <w:highlight w:val="none"/>
          <w:lang w:val="en-US" w:eastAsia="zh-CN"/>
        </w:rPr>
        <w:t>三、价格部分</w:t>
      </w:r>
      <w:r>
        <w:rPr>
          <w:rFonts w:hint="eastAsia" w:ascii="宋体" w:hAnsi="宋体" w:eastAsia="宋体" w:cs="宋体"/>
          <w:b/>
          <w:bCs/>
          <w:color w:val="000000"/>
          <w:sz w:val="24"/>
        </w:rPr>
        <w:t>要求</w:t>
      </w:r>
    </w:p>
    <w:p w14:paraId="0A5E5B37">
      <w:pPr>
        <w:keepNext w:val="0"/>
        <w:keepLines w:val="0"/>
        <w:pageBreakBefore w:val="0"/>
        <w:widowControl w:val="0"/>
        <w:kinsoku/>
        <w:wordWrap/>
        <w:overflowPunct/>
        <w:topLinePunct w:val="0"/>
        <w:autoSpaceDE/>
        <w:autoSpaceDN/>
        <w:bidi w:val="0"/>
        <w:adjustRightInd/>
        <w:snapToGrid/>
        <w:spacing w:line="336" w:lineRule="auto"/>
        <w:ind w:firstLine="480"/>
        <w:textAlignment w:val="auto"/>
        <w:rPr>
          <w:rFonts w:ascii="宋体" w:hAnsi="宋体" w:eastAsia="宋体" w:cs="宋体"/>
          <w:bCs/>
          <w:sz w:val="24"/>
        </w:rPr>
      </w:pPr>
      <w:r>
        <w:rPr>
          <w:rFonts w:hint="eastAsia" w:ascii="宋体" w:hAnsi="宋体" w:eastAsia="宋体" w:cs="宋体"/>
          <w:bCs/>
          <w:sz w:val="24"/>
        </w:rPr>
        <w:t>1、采购人拒绝高于最高限价的投标报价。</w:t>
      </w:r>
    </w:p>
    <w:p w14:paraId="002F2F12">
      <w:pPr>
        <w:pStyle w:val="14"/>
        <w:keepNext w:val="0"/>
        <w:keepLines w:val="0"/>
        <w:pageBreakBefore w:val="0"/>
        <w:widowControl w:val="0"/>
        <w:kinsoku/>
        <w:wordWrap/>
        <w:overflowPunct/>
        <w:topLinePunct w:val="0"/>
        <w:autoSpaceDE/>
        <w:autoSpaceDN/>
        <w:bidi w:val="0"/>
        <w:adjustRightInd/>
        <w:snapToGrid/>
        <w:spacing w:beforeAutospacing="0" w:afterAutospacing="0" w:line="336" w:lineRule="auto"/>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auto"/>
          <w:sz w:val="24"/>
          <w:highlight w:val="none"/>
          <w:lang w:val="en-US" w:eastAsia="zh-CN"/>
        </w:rPr>
        <w:t>2、投标分项报价表，不仅应包括所有人员的工资、法定节假日加班费、休息日加班费、社保、公积金、福利费</w:t>
      </w:r>
      <w:r>
        <w:rPr>
          <w:rFonts w:hint="eastAsia" w:ascii="宋体" w:hAnsi="宋体" w:eastAsia="宋体" w:cs="宋体"/>
          <w:color w:val="auto"/>
          <w:sz w:val="24"/>
          <w:highlight w:val="none"/>
          <w:lang w:eastAsia="zh-CN"/>
        </w:rPr>
        <w:t>材料损耗费、劳务费、保险费、管理费、配合费、培训、税金、利润、风险费、不可预见费及其他一切相关费用等所需的全部费用的价格体现，凡漏项或少计均视为优惠，甲方不另行增加费用。各类风险和政策性调整等风险已包括在投标报价中，最终结算时除合同约定调整外一律不予调整。</w:t>
      </w:r>
    </w:p>
    <w:p w14:paraId="0C0CB035">
      <w:pPr>
        <w:pStyle w:val="32"/>
        <w:keepNext w:val="0"/>
        <w:keepLines w:val="0"/>
        <w:pageBreakBefore w:val="0"/>
        <w:widowControl w:val="0"/>
        <w:kinsoku/>
        <w:wordWrap/>
        <w:overflowPunct/>
        <w:topLinePunct w:val="0"/>
        <w:bidi w:val="0"/>
        <w:spacing w:beforeAutospacing="0" w:afterAutospacing="0" w:line="336" w:lineRule="auto"/>
        <w:ind w:firstLine="482"/>
        <w:jc w:val="both"/>
        <w:textAlignment w:val="auto"/>
        <w:rPr>
          <w:rFonts w:hint="eastAsia" w:ascii="宋体" w:hAnsi="宋体" w:eastAsia="宋体" w:cs="宋体"/>
          <w:b w:val="0"/>
          <w:bCs w:val="0"/>
          <w:color w:val="auto"/>
          <w:highlight w:val="none"/>
        </w:rPr>
      </w:pPr>
      <w:r>
        <w:rPr>
          <w:rFonts w:hint="eastAsia" w:ascii="宋体" w:hAnsi="宋体" w:eastAsia="宋体" w:cs="宋体"/>
          <w:color w:val="auto"/>
          <w:kern w:val="0"/>
          <w:sz w:val="24"/>
          <w:szCs w:val="24"/>
          <w:highlight w:val="none"/>
          <w:lang w:val="en-US" w:eastAsia="zh-CN" w:bidi="ar-SA"/>
        </w:rPr>
        <w:t>3、</w:t>
      </w:r>
      <w:r>
        <w:rPr>
          <w:rFonts w:hint="eastAsia" w:ascii="宋体" w:hAnsi="宋体" w:eastAsia="宋体" w:cs="宋体"/>
          <w:b w:val="0"/>
          <w:bCs w:val="0"/>
          <w:color w:val="auto"/>
          <w:highlight w:val="none"/>
          <w:lang w:val="zh-CN"/>
        </w:rPr>
        <w:t>人员工资及相关费用测算依据：</w:t>
      </w:r>
      <w:r>
        <w:rPr>
          <w:rFonts w:hint="eastAsia" w:ascii="宋体" w:hAnsi="宋体" w:eastAsia="宋体" w:cs="宋体"/>
          <w:b w:val="0"/>
          <w:bCs w:val="0"/>
          <w:color w:val="auto"/>
          <w:highlight w:val="none"/>
          <w:lang w:val="zh-CN" w:eastAsia="zh-CN"/>
        </w:rPr>
        <w:t>所有人员工资不低于本市最低工资标准</w:t>
      </w:r>
      <w:r>
        <w:rPr>
          <w:rFonts w:hint="eastAsia" w:ascii="宋体" w:hAnsi="宋体" w:eastAsia="宋体" w:cs="宋体"/>
          <w:b w:val="0"/>
          <w:bCs w:val="0"/>
          <w:color w:val="auto"/>
          <w:highlight w:val="none"/>
          <w:lang w:val="en-US" w:eastAsia="zh-CN"/>
        </w:rPr>
        <w:t>2673</w:t>
      </w:r>
      <w:r>
        <w:rPr>
          <w:rFonts w:hint="eastAsia" w:ascii="宋体" w:hAnsi="宋体" w:eastAsia="宋体" w:cs="宋体"/>
          <w:b w:val="0"/>
          <w:bCs w:val="0"/>
          <w:color w:val="auto"/>
          <w:highlight w:val="none"/>
          <w:lang w:val="zh-CN" w:eastAsia="zh-CN"/>
        </w:rPr>
        <w:t>元/人</w:t>
      </w:r>
      <w:r>
        <w:rPr>
          <w:rFonts w:hint="eastAsia" w:ascii="宋体" w:hAnsi="宋体" w:eastAsia="宋体" w:cs="宋体"/>
          <w:b w:val="0"/>
          <w:bCs w:val="0"/>
          <w:color w:val="auto"/>
          <w:highlight w:val="none"/>
          <w:lang w:val="en-US" w:eastAsia="zh-CN"/>
        </w:rPr>
        <w:t>每</w:t>
      </w:r>
      <w:r>
        <w:rPr>
          <w:rFonts w:hint="eastAsia" w:ascii="宋体" w:hAnsi="宋体" w:eastAsia="宋体" w:cs="宋体"/>
          <w:b w:val="0"/>
          <w:bCs w:val="0"/>
          <w:color w:val="auto"/>
          <w:highlight w:val="none"/>
          <w:lang w:val="zh-CN" w:eastAsia="zh-CN"/>
        </w:rPr>
        <w:t>月（按照《关于进一步保障全省环卫行业工人合法权益的实施意见》月工资收入不得低于当地最低工资标准的110%的硬性规定）</w:t>
      </w:r>
      <w:r>
        <w:rPr>
          <w:rFonts w:hint="eastAsia" w:ascii="宋体" w:hAnsi="宋体" w:eastAsia="宋体" w:cs="宋体"/>
          <w:b w:val="0"/>
          <w:bCs w:val="0"/>
          <w:color w:val="auto"/>
          <w:highlight w:val="none"/>
          <w:lang w:val="zh-CN"/>
        </w:rPr>
        <w:t>、社保费用应执行江苏省省人力资源社会保障厅、省财政厅、省医疗保障局、省税务局关于发布2025年度社会保险有关基数的通知，五险（缴费基数为4</w:t>
      </w:r>
      <w:r>
        <w:rPr>
          <w:rFonts w:hint="eastAsia" w:ascii="宋体" w:hAnsi="宋体" w:eastAsia="宋体" w:cs="宋体"/>
          <w:b w:val="0"/>
          <w:bCs w:val="0"/>
          <w:color w:val="auto"/>
          <w:highlight w:val="none"/>
          <w:lang w:val="en-US" w:eastAsia="zh-CN"/>
        </w:rPr>
        <w:t>952</w:t>
      </w:r>
      <w:r>
        <w:rPr>
          <w:rFonts w:hint="eastAsia" w:ascii="宋体" w:hAnsi="宋体" w:eastAsia="宋体" w:cs="宋体"/>
          <w:b w:val="0"/>
          <w:bCs w:val="0"/>
          <w:color w:val="auto"/>
          <w:highlight w:val="none"/>
          <w:lang w:val="zh-CN"/>
        </w:rPr>
        <w:t>元，养老保险16%、医疗保险8%、工伤保险0.7%、生育保险0.9%、失业保险0.5%，按1</w:t>
      </w:r>
      <w:r>
        <w:rPr>
          <w:rFonts w:hint="eastAsia" w:ascii="宋体" w:hAnsi="宋体" w:eastAsia="宋体" w:cs="宋体"/>
          <w:b w:val="0"/>
          <w:bCs w:val="0"/>
          <w:color w:val="auto"/>
          <w:highlight w:val="none"/>
          <w:lang w:val="en-US" w:eastAsia="zh-CN"/>
        </w:rPr>
        <w:t>292.47</w:t>
      </w:r>
      <w:r>
        <w:rPr>
          <w:rFonts w:hint="eastAsia" w:ascii="宋体" w:hAnsi="宋体" w:eastAsia="宋体" w:cs="宋体"/>
          <w:b w:val="0"/>
          <w:bCs w:val="0"/>
          <w:color w:val="auto"/>
          <w:highlight w:val="none"/>
          <w:lang w:val="zh-CN"/>
        </w:rPr>
        <w:t>元/人/月测算，所有人员夏季高温津贴按国家相关规定执行，不低于</w:t>
      </w:r>
      <w:r>
        <w:rPr>
          <w:rFonts w:hint="eastAsia" w:ascii="宋体" w:hAnsi="宋体" w:eastAsia="宋体" w:cs="宋体"/>
          <w:b w:val="0"/>
          <w:bCs w:val="0"/>
          <w:color w:val="auto"/>
          <w:highlight w:val="none"/>
          <w:lang w:val="zh-CN" w:eastAsia="zh-CN"/>
        </w:rPr>
        <w:t>1600</w:t>
      </w:r>
      <w:r>
        <w:rPr>
          <w:rFonts w:hint="eastAsia" w:ascii="宋体" w:hAnsi="宋体" w:eastAsia="宋体" w:cs="宋体"/>
          <w:b w:val="0"/>
          <w:bCs w:val="0"/>
          <w:color w:val="auto"/>
          <w:highlight w:val="none"/>
          <w:lang w:val="zh-CN"/>
        </w:rPr>
        <w:t>元/人每年(</w:t>
      </w:r>
      <w:r>
        <w:rPr>
          <w:rFonts w:hint="eastAsia" w:ascii="宋体" w:hAnsi="宋体" w:eastAsia="宋体" w:cs="宋体"/>
          <w:b w:val="0"/>
          <w:bCs w:val="0"/>
          <w:color w:val="auto"/>
          <w:highlight w:val="none"/>
          <w:lang w:val="en-US" w:eastAsia="zh-CN"/>
        </w:rPr>
        <w:t>4</w:t>
      </w:r>
      <w:r>
        <w:rPr>
          <w:rFonts w:hint="eastAsia" w:ascii="宋体" w:hAnsi="宋体" w:eastAsia="宋体" w:cs="宋体"/>
          <w:b w:val="0"/>
          <w:bCs w:val="0"/>
          <w:color w:val="auto"/>
          <w:highlight w:val="none"/>
          <w:lang w:val="zh-CN"/>
        </w:rPr>
        <w:t>00×4)，法定节假日加班费</w:t>
      </w:r>
      <w:r>
        <w:rPr>
          <w:rFonts w:hint="eastAsia" w:ascii="宋体" w:hAnsi="宋体" w:eastAsia="宋体" w:cs="宋体"/>
          <w:b w:val="0"/>
          <w:bCs w:val="0"/>
          <w:color w:val="auto"/>
          <w:highlight w:val="none"/>
          <w:lang w:val="en-US" w:eastAsia="zh-CN"/>
        </w:rPr>
        <w:t>4357.24</w:t>
      </w:r>
      <w:r>
        <w:rPr>
          <w:rFonts w:hint="eastAsia" w:ascii="宋体" w:hAnsi="宋体" w:eastAsia="宋体" w:cs="宋体"/>
          <w:b w:val="0"/>
          <w:bCs w:val="0"/>
          <w:color w:val="auto"/>
          <w:highlight w:val="none"/>
          <w:lang w:val="zh-CN"/>
        </w:rPr>
        <w:t>元/人/年（</w:t>
      </w:r>
      <w:r>
        <w:rPr>
          <w:rFonts w:hint="eastAsia" w:ascii="宋体" w:hAnsi="宋体" w:eastAsia="宋体" w:cs="宋体"/>
          <w:b w:val="0"/>
          <w:bCs w:val="0"/>
          <w:color w:val="auto"/>
          <w:highlight w:val="none"/>
          <w:lang w:val="en-US" w:eastAsia="zh-CN"/>
        </w:rPr>
        <w:t>2430</w:t>
      </w:r>
      <w:r>
        <w:rPr>
          <w:rFonts w:hint="eastAsia" w:ascii="宋体" w:hAnsi="宋体" w:eastAsia="宋体" w:cs="宋体"/>
          <w:b w:val="0"/>
          <w:bCs w:val="0"/>
          <w:color w:val="auto"/>
          <w:highlight w:val="none"/>
          <w:lang w:val="zh-CN"/>
        </w:rPr>
        <w:t>元/21.75天*3倍*1</w:t>
      </w:r>
      <w:r>
        <w:rPr>
          <w:rFonts w:hint="eastAsia" w:ascii="宋体" w:hAnsi="宋体" w:eastAsia="宋体" w:cs="宋体"/>
          <w:b w:val="0"/>
          <w:bCs w:val="0"/>
          <w:color w:val="auto"/>
          <w:highlight w:val="none"/>
          <w:lang w:val="en-US" w:eastAsia="zh-CN"/>
        </w:rPr>
        <w:t>3</w:t>
      </w:r>
      <w:r>
        <w:rPr>
          <w:rFonts w:hint="eastAsia" w:ascii="宋体" w:hAnsi="宋体" w:eastAsia="宋体" w:cs="宋体"/>
          <w:b w:val="0"/>
          <w:bCs w:val="0"/>
          <w:color w:val="auto"/>
          <w:highlight w:val="none"/>
          <w:lang w:val="zh-CN"/>
        </w:rPr>
        <w:t>天），休息日加班费</w:t>
      </w:r>
      <w:r>
        <w:rPr>
          <w:rFonts w:hint="eastAsia" w:ascii="宋体" w:hAnsi="宋体" w:eastAsia="宋体" w:cs="宋体"/>
          <w:b w:val="0"/>
          <w:bCs w:val="0"/>
          <w:color w:val="auto"/>
          <w:highlight w:val="none"/>
          <w:lang w:val="en-US" w:eastAsia="zh-CN"/>
        </w:rPr>
        <w:t>11619.31</w:t>
      </w:r>
      <w:r>
        <w:rPr>
          <w:rFonts w:hint="eastAsia" w:ascii="宋体" w:hAnsi="宋体" w:eastAsia="宋体" w:cs="宋体"/>
          <w:b w:val="0"/>
          <w:bCs w:val="0"/>
          <w:color w:val="auto"/>
          <w:highlight w:val="none"/>
          <w:lang w:val="zh-CN"/>
        </w:rPr>
        <w:t>元/人/年（</w:t>
      </w:r>
      <w:r>
        <w:rPr>
          <w:rFonts w:hint="eastAsia" w:ascii="宋体" w:hAnsi="宋体" w:eastAsia="宋体" w:cs="宋体"/>
          <w:b w:val="0"/>
          <w:bCs w:val="0"/>
          <w:color w:val="auto"/>
          <w:highlight w:val="none"/>
          <w:lang w:val="en-US" w:eastAsia="zh-CN"/>
        </w:rPr>
        <w:t>2430元</w:t>
      </w:r>
      <w:r>
        <w:rPr>
          <w:rFonts w:hint="eastAsia" w:ascii="宋体" w:hAnsi="宋体" w:eastAsia="宋体" w:cs="宋体"/>
          <w:b w:val="0"/>
          <w:bCs w:val="0"/>
          <w:color w:val="auto"/>
          <w:highlight w:val="none"/>
          <w:lang w:val="zh-CN"/>
        </w:rPr>
        <w:t>/21.75*2*52），</w:t>
      </w:r>
      <w:r>
        <w:rPr>
          <w:rFonts w:hint="eastAsia" w:ascii="宋体" w:hAnsi="宋体" w:eastAsia="宋体" w:cs="宋体"/>
          <w:b w:val="0"/>
          <w:bCs w:val="0"/>
          <w:color w:val="auto"/>
          <w:highlight w:val="none"/>
          <w:lang w:val="en-US" w:eastAsia="zh-CN"/>
        </w:rPr>
        <w:t>住房公积金不得低于114元人</w:t>
      </w:r>
      <w:r>
        <w:rPr>
          <w:rFonts w:hint="default" w:ascii="宋体" w:hAnsi="宋体" w:eastAsia="宋体" w:cs="宋体"/>
          <w:b w:val="0"/>
          <w:bCs w:val="0"/>
          <w:color w:val="auto"/>
          <w:highlight w:val="none"/>
          <w:lang w:val="en-US" w:eastAsia="zh-CN"/>
        </w:rPr>
        <w:t>/</w:t>
      </w:r>
      <w:r>
        <w:rPr>
          <w:rFonts w:hint="eastAsia" w:ascii="宋体" w:hAnsi="宋体" w:eastAsia="宋体" w:cs="宋体"/>
          <w:b w:val="0"/>
          <w:bCs w:val="0"/>
          <w:color w:val="auto"/>
          <w:highlight w:val="none"/>
          <w:lang w:val="en-US" w:eastAsia="zh-CN"/>
        </w:rPr>
        <w:t>每月，</w:t>
      </w:r>
      <w:r>
        <w:rPr>
          <w:rFonts w:hint="eastAsia" w:ascii="宋体" w:hAnsi="宋体" w:eastAsia="宋体" w:cs="宋体"/>
          <w:b w:val="0"/>
          <w:bCs w:val="0"/>
          <w:color w:val="auto"/>
          <w:highlight w:val="none"/>
          <w:lang w:val="zh-CN"/>
        </w:rPr>
        <w:t>各投标人统一按照6.72%缴纳法定税费，低于此费用的投标报价符合性审查不通过。</w:t>
      </w:r>
    </w:p>
    <w:p w14:paraId="4F902E82">
      <w:pPr>
        <w:pStyle w:val="32"/>
        <w:keepNext w:val="0"/>
        <w:keepLines w:val="0"/>
        <w:pageBreakBefore w:val="0"/>
        <w:widowControl w:val="0"/>
        <w:kinsoku/>
        <w:wordWrap/>
        <w:overflowPunct/>
        <w:topLinePunct w:val="0"/>
        <w:bidi w:val="0"/>
        <w:spacing w:beforeAutospacing="0" w:afterAutospacing="0" w:line="336" w:lineRule="auto"/>
        <w:ind w:firstLine="482"/>
        <w:jc w:val="both"/>
        <w:textAlignment w:val="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zh-CN"/>
        </w:rPr>
        <w:t>注：法定节假日的加班工资（因行业的特殊性，采购人要求所有项目组成员在11天法定节假日全员上班；休息日人员按50%的比例上班，故按52个休息日测算人员加班费，且采购人将对工资、福利的发放，保险的缴纳，项目组成员上班出勤率等进行考核。）以不低于国家及本省相关规定测算，低于此费用的投标报价符合性审查不通过且作废标处理。(投标人需考虑每年最低工资增长产生的额外费用，由此产生的额外支出，甲方不作费用调整）。</w:t>
      </w:r>
    </w:p>
    <w:p w14:paraId="481DDD5D">
      <w:pPr>
        <w:pStyle w:val="32"/>
        <w:keepNext w:val="0"/>
        <w:keepLines w:val="0"/>
        <w:pageBreakBefore w:val="0"/>
        <w:widowControl w:val="0"/>
        <w:kinsoku/>
        <w:wordWrap/>
        <w:overflowPunct/>
        <w:topLinePunct w:val="0"/>
        <w:bidi w:val="0"/>
        <w:spacing w:beforeAutospacing="0" w:afterAutospacing="0" w:line="336" w:lineRule="auto"/>
        <w:ind w:firstLine="482"/>
        <w:jc w:val="both"/>
        <w:textAlignment w:val="auto"/>
        <w:rPr>
          <w:rFonts w:hint="eastAsia" w:ascii="宋体" w:hAnsi="宋体" w:eastAsia="宋体" w:cs="宋体"/>
          <w:b w:val="0"/>
          <w:bCs w:val="0"/>
          <w:color w:val="FF0000"/>
          <w:kern w:val="0"/>
          <w:sz w:val="24"/>
          <w:szCs w:val="24"/>
          <w:highlight w:val="none"/>
          <w:lang w:val="zh-CN" w:eastAsia="zh-CN" w:bidi="ar-SA"/>
        </w:rPr>
      </w:pPr>
      <w:r>
        <w:rPr>
          <w:rFonts w:hint="eastAsia" w:ascii="宋体" w:hAnsi="宋体" w:eastAsia="宋体" w:cs="宋体"/>
          <w:b w:val="0"/>
          <w:bCs w:val="0"/>
          <w:color w:val="auto"/>
          <w:highlight w:val="none"/>
          <w:lang w:val="zh-CN"/>
        </w:rPr>
        <w:t>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p>
    <w:p w14:paraId="515F53A3">
      <w:pPr>
        <w:keepNext w:val="0"/>
        <w:keepLines w:val="0"/>
        <w:pageBreakBefore w:val="0"/>
        <w:widowControl w:val="0"/>
        <w:kinsoku/>
        <w:wordWrap/>
        <w:overflowPunct/>
        <w:topLinePunct w:val="0"/>
        <w:bidi w:val="0"/>
        <w:spacing w:line="336" w:lineRule="auto"/>
        <w:jc w:val="left"/>
        <w:textAlignment w:val="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四、技术部分要求</w:t>
      </w:r>
    </w:p>
    <w:p w14:paraId="2FDBF205">
      <w:pPr>
        <w:keepNext w:val="0"/>
        <w:keepLines w:val="0"/>
        <w:pageBreakBefore w:val="0"/>
        <w:widowControl w:val="0"/>
        <w:kinsoku/>
        <w:wordWrap/>
        <w:overflowPunct/>
        <w:topLinePunct w:val="0"/>
        <w:bidi w:val="0"/>
        <w:spacing w:line="336" w:lineRule="auto"/>
        <w:ind w:firstLine="48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人须根据自身实际情况与对本项目的理解，编制总体服务方案，至少包含对本项目的基本思路、服务理念、工作目标、日常管理标准、管理重点难点和措施、组织机构、人员配备、应急预案、设备设施配备情况5大项。服务方案内容清晰、全面、合理、可靠、结构完整优于项目需求的优先。</w:t>
      </w:r>
    </w:p>
    <w:p w14:paraId="1BAD1371">
      <w:pPr>
        <w:keepNext w:val="0"/>
        <w:keepLines w:val="0"/>
        <w:pageBreakBefore w:val="0"/>
        <w:widowControl w:val="0"/>
        <w:spacing w:line="360" w:lineRule="auto"/>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五、服务水平要求</w:t>
      </w:r>
    </w:p>
    <w:p w14:paraId="02A3CF88">
      <w:pPr>
        <w:keepNext w:val="0"/>
        <w:keepLines w:val="0"/>
        <w:pageBreakBefore w:val="0"/>
        <w:widowControl w:val="0"/>
        <w:spacing w:line="360" w:lineRule="auto"/>
        <w:ind w:firstLine="482"/>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项目组人员</w:t>
      </w:r>
    </w:p>
    <w:p w14:paraId="6B13195B">
      <w:pPr>
        <w:keepNext w:val="0"/>
        <w:keepLines w:val="0"/>
        <w:pageBreakBefore w:val="0"/>
        <w:widowControl w:val="0"/>
        <w:numPr>
          <w:ilvl w:val="0"/>
          <w:numId w:val="0"/>
        </w:numPr>
        <w:kinsoku/>
        <w:wordWrap/>
        <w:overflowPunct/>
        <w:topLinePunct w:val="0"/>
        <w:bidi w:val="0"/>
        <w:snapToGrid w:val="0"/>
        <w:spacing w:line="288"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投标人安排的项目组成员</w:t>
      </w:r>
      <w:r>
        <w:rPr>
          <w:rFonts w:hint="eastAsia" w:ascii="宋体" w:hAnsi="宋体" w:eastAsia="宋体" w:cs="宋体"/>
          <w:sz w:val="24"/>
          <w:szCs w:val="24"/>
          <w:highlight w:val="none"/>
          <w:lang w:val="en-US" w:eastAsia="zh-CN"/>
        </w:rPr>
        <w:t>具有高级及以上保安员证书</w:t>
      </w:r>
      <w:r>
        <w:rPr>
          <w:rFonts w:hint="eastAsia" w:ascii="宋体" w:hAnsi="宋体" w:eastAsia="宋体" w:cs="宋体"/>
          <w:sz w:val="24"/>
          <w:szCs w:val="24"/>
          <w:highlight w:val="none"/>
          <w:lang w:val="zh-CN" w:eastAsia="zh-CN"/>
        </w:rPr>
        <w:t>的优先。</w:t>
      </w:r>
    </w:p>
    <w:p w14:paraId="5DE919F8">
      <w:pPr>
        <w:keepNext w:val="0"/>
        <w:keepLines w:val="0"/>
        <w:pageBreakBefore w:val="0"/>
        <w:widowControl w:val="0"/>
        <w:spacing w:line="360" w:lineRule="auto"/>
        <w:jc w:val="lef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六、其他要求</w:t>
      </w:r>
    </w:p>
    <w:p w14:paraId="749F3D12">
      <w:pPr>
        <w:keepNext w:val="0"/>
        <w:keepLines w:val="0"/>
        <w:pageBreakBefore w:val="0"/>
        <w:widowControl w:val="0"/>
        <w:spacing w:line="360" w:lineRule="auto"/>
        <w:ind w:firstLine="482"/>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类似业绩</w:t>
      </w:r>
    </w:p>
    <w:p w14:paraId="50C965D6">
      <w:pPr>
        <w:spacing w:line="360" w:lineRule="auto"/>
        <w:ind w:firstLine="480"/>
        <w:jc w:val="left"/>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zh-CN" w:eastAsia="zh-CN"/>
        </w:rPr>
        <w:t>投标人需要具备丰富的相关经验，为确保本项目的顺利实施，投标人</w:t>
      </w:r>
      <w:r>
        <w:rPr>
          <w:rFonts w:hint="eastAsia" w:ascii="宋体" w:hAnsi="宋体" w:eastAsia="宋体" w:cs="宋体"/>
          <w:sz w:val="24"/>
          <w:szCs w:val="24"/>
          <w:highlight w:val="none"/>
          <w:lang w:val="en-US" w:eastAsia="zh-CN"/>
        </w:rPr>
        <w:t>自2023年1月1日起至今（以合同签署日期为准）</w:t>
      </w:r>
      <w:r>
        <w:rPr>
          <w:rFonts w:hint="eastAsia" w:ascii="宋体" w:hAnsi="宋体" w:eastAsia="宋体" w:cs="宋体"/>
          <w:sz w:val="24"/>
          <w:szCs w:val="24"/>
          <w:highlight w:val="none"/>
          <w:lang w:val="zh-CN" w:eastAsia="zh-CN"/>
        </w:rPr>
        <w:t>承担过类似秩序维护或市容管理服务项目的</w:t>
      </w:r>
      <w:r>
        <w:rPr>
          <w:rFonts w:hint="eastAsia" w:ascii="宋体" w:hAnsi="宋体" w:eastAsia="宋体" w:cs="宋体"/>
          <w:sz w:val="24"/>
          <w:szCs w:val="24"/>
          <w:highlight w:val="none"/>
          <w:lang w:val="en-US" w:eastAsia="zh-CN"/>
        </w:rPr>
        <w:t>的</w:t>
      </w:r>
      <w:r>
        <w:rPr>
          <w:rFonts w:hint="eastAsia" w:ascii="宋体" w:hAnsi="宋体" w:eastAsia="宋体" w:cs="宋体"/>
          <w:sz w:val="24"/>
          <w:szCs w:val="24"/>
          <w:highlight w:val="none"/>
          <w:lang w:val="zh-CN" w:eastAsia="zh-CN"/>
        </w:rPr>
        <w:t>优先。</w:t>
      </w:r>
    </w:p>
    <w:p w14:paraId="071249E5">
      <w:pPr>
        <w:pStyle w:val="26"/>
        <w:keepNext w:val="0"/>
        <w:keepLines w:val="0"/>
        <w:pageBreakBefore w:val="0"/>
        <w:widowControl w:val="0"/>
        <w:spacing w:line="440" w:lineRule="exact"/>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七</w:t>
      </w:r>
      <w:r>
        <w:rPr>
          <w:rFonts w:hint="eastAsia" w:ascii="宋体" w:hAnsi="宋体" w:eastAsia="宋体" w:cs="宋体"/>
          <w:b/>
          <w:bCs/>
          <w:color w:val="auto"/>
          <w:sz w:val="24"/>
          <w:highlight w:val="none"/>
          <w:lang w:val="en-US" w:eastAsia="zh-CN"/>
        </w:rPr>
        <w:t>、采购标的对应的中小企业划分标准所属行业一览表</w:t>
      </w:r>
    </w:p>
    <w:tbl>
      <w:tblPr>
        <w:tblStyle w:val="16"/>
        <w:tblW w:w="5173" w:type="pct"/>
        <w:jc w:val="center"/>
        <w:tblCellSpacing w:w="0" w:type="dxa"/>
        <w:tblLayout w:type="autofit"/>
        <w:tblCellMar>
          <w:top w:w="0" w:type="dxa"/>
          <w:left w:w="108" w:type="dxa"/>
          <w:bottom w:w="0" w:type="dxa"/>
          <w:right w:w="108" w:type="dxa"/>
        </w:tblCellMar>
      </w:tblPr>
      <w:tblGrid>
        <w:gridCol w:w="870"/>
        <w:gridCol w:w="4961"/>
        <w:gridCol w:w="3007"/>
      </w:tblGrid>
      <w:tr w14:paraId="18E81277">
        <w:tblPrEx>
          <w:tblCellMar>
            <w:top w:w="0" w:type="dxa"/>
            <w:left w:w="108" w:type="dxa"/>
            <w:bottom w:w="0" w:type="dxa"/>
            <w:right w:w="108" w:type="dxa"/>
          </w:tblCellMar>
        </w:tblPrEx>
        <w:trPr>
          <w:trHeight w:val="491" w:hRule="atLeast"/>
          <w:tblCellSpacing w:w="0" w:type="dxa"/>
          <w:jc w:val="center"/>
        </w:trPr>
        <w:tc>
          <w:tcPr>
            <w:tcW w:w="49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98B71E">
            <w:pPr>
              <w:pStyle w:val="14"/>
              <w:keepNext w:val="0"/>
              <w:keepLines w:val="0"/>
              <w:pageBreakBefore w:val="0"/>
              <w:spacing w:beforeAutospacing="0" w:afterAutospacing="0" w:line="240" w:lineRule="auto"/>
              <w:jc w:val="center"/>
              <w:rPr>
                <w:rFonts w:hint="eastAsia" w:ascii="宋体" w:hAnsi="宋体" w:eastAsia="宋体" w:cs="宋体"/>
                <w:color w:val="auto"/>
                <w:sz w:val="22"/>
                <w:szCs w:val="22"/>
              </w:rPr>
            </w:pPr>
            <w:r>
              <w:rPr>
                <w:rFonts w:hint="eastAsia" w:ascii="宋体" w:hAnsi="宋体" w:eastAsia="宋体" w:cs="宋体"/>
                <w:color w:val="auto"/>
                <w:sz w:val="22"/>
                <w:szCs w:val="22"/>
              </w:rPr>
              <w:t>序号</w:t>
            </w:r>
          </w:p>
        </w:tc>
        <w:tc>
          <w:tcPr>
            <w:tcW w:w="28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C28D8B">
            <w:pPr>
              <w:pStyle w:val="14"/>
              <w:keepNext w:val="0"/>
              <w:keepLines w:val="0"/>
              <w:pageBreakBefore w:val="0"/>
              <w:spacing w:beforeAutospacing="0" w:afterAutospacing="0" w:line="240" w:lineRule="auto"/>
              <w:jc w:val="center"/>
              <w:rPr>
                <w:rFonts w:hint="eastAsia" w:ascii="宋体" w:hAnsi="宋体" w:eastAsia="宋体" w:cs="宋体"/>
                <w:color w:val="auto"/>
                <w:sz w:val="22"/>
                <w:szCs w:val="22"/>
              </w:rPr>
            </w:pPr>
            <w:r>
              <w:rPr>
                <w:rFonts w:hint="eastAsia" w:ascii="宋体" w:hAnsi="宋体" w:eastAsia="宋体" w:cs="宋体"/>
                <w:color w:val="auto"/>
                <w:sz w:val="22"/>
                <w:szCs w:val="22"/>
              </w:rPr>
              <w:t>采购标的</w:t>
            </w:r>
          </w:p>
        </w:tc>
        <w:tc>
          <w:tcPr>
            <w:tcW w:w="170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E5D17E">
            <w:pPr>
              <w:pStyle w:val="14"/>
              <w:keepNext w:val="0"/>
              <w:keepLines w:val="0"/>
              <w:pageBreakBefore w:val="0"/>
              <w:spacing w:beforeAutospacing="0" w:afterAutospacing="0" w:line="240" w:lineRule="auto"/>
              <w:jc w:val="center"/>
              <w:rPr>
                <w:rFonts w:hint="eastAsia" w:ascii="宋体" w:hAnsi="宋体" w:eastAsia="宋体" w:cs="宋体"/>
                <w:color w:val="auto"/>
                <w:sz w:val="22"/>
                <w:szCs w:val="22"/>
              </w:rPr>
            </w:pPr>
            <w:r>
              <w:rPr>
                <w:rFonts w:hint="eastAsia" w:ascii="宋体" w:hAnsi="宋体" w:eastAsia="宋体" w:cs="宋体"/>
                <w:color w:val="auto"/>
                <w:sz w:val="22"/>
                <w:szCs w:val="22"/>
              </w:rPr>
              <w:t>对应中小企业划分标准所属行业</w:t>
            </w:r>
          </w:p>
        </w:tc>
      </w:tr>
      <w:tr w14:paraId="037220EB">
        <w:tblPrEx>
          <w:tblCellMar>
            <w:top w:w="0" w:type="dxa"/>
            <w:left w:w="108" w:type="dxa"/>
            <w:bottom w:w="0" w:type="dxa"/>
            <w:right w:w="108" w:type="dxa"/>
          </w:tblCellMar>
        </w:tblPrEx>
        <w:trPr>
          <w:trHeight w:val="567" w:hRule="atLeast"/>
          <w:tblCellSpacing w:w="0" w:type="dxa"/>
          <w:jc w:val="center"/>
        </w:trPr>
        <w:tc>
          <w:tcPr>
            <w:tcW w:w="49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3837AA">
            <w:pPr>
              <w:keepNext w:val="0"/>
              <w:keepLines w:val="0"/>
              <w:pageBreakBefore w:val="0"/>
              <w:widowControl/>
              <w:suppressLineNumbers w:val="0"/>
              <w:spacing w:line="240" w:lineRule="auto"/>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1</w:t>
            </w:r>
          </w:p>
        </w:tc>
        <w:tc>
          <w:tcPr>
            <w:tcW w:w="28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F8F857">
            <w:pPr>
              <w:keepNext w:val="0"/>
              <w:keepLines w:val="0"/>
              <w:pageBreakBefore w:val="0"/>
              <w:widowControl/>
              <w:suppressLineNumbers w:val="0"/>
              <w:spacing w:line="240" w:lineRule="auto"/>
              <w:jc w:val="center"/>
              <w:rPr>
                <w:rFonts w:hint="eastAsia" w:ascii="宋体" w:hAnsi="宋体" w:eastAsia="宋体" w:cs="宋体"/>
                <w:i w:val="0"/>
                <w:iCs w:val="0"/>
                <w:color w:val="auto"/>
                <w:sz w:val="22"/>
                <w:szCs w:val="22"/>
                <w:highlight w:val="none"/>
                <w:u w:val="none"/>
                <w:lang w:val="zh-CN" w:eastAsia="zh-CN" w:bidi="ar"/>
              </w:rPr>
            </w:pPr>
            <w:r>
              <w:rPr>
                <w:rFonts w:hint="eastAsia" w:ascii="宋体" w:hAnsi="宋体" w:eastAsia="宋体" w:cs="宋体"/>
                <w:sz w:val="22"/>
                <w:szCs w:val="22"/>
                <w:highlight w:val="none"/>
                <w:lang w:val="en-US" w:eastAsia="zh-CN"/>
              </w:rPr>
              <w:t>2026-2028年盐南市容秩序管理外包服务项目（南海未来城、高铁站等重点标段）</w:t>
            </w:r>
          </w:p>
        </w:tc>
        <w:tc>
          <w:tcPr>
            <w:tcW w:w="170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E1B5C0">
            <w:pPr>
              <w:keepNext w:val="0"/>
              <w:keepLines w:val="0"/>
              <w:pageBreakBefore w:val="0"/>
              <w:widowControl/>
              <w:suppressLineNumbers w:val="0"/>
              <w:spacing w:line="240" w:lineRule="auto"/>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其他未列明行业</w:t>
            </w:r>
          </w:p>
        </w:tc>
      </w:tr>
    </w:tbl>
    <w:p w14:paraId="004F6B2B">
      <w:pPr>
        <w:numPr>
          <w:ilvl w:val="0"/>
          <w:numId w:val="0"/>
        </w:numPr>
        <w:spacing w:line="500" w:lineRule="exact"/>
        <w:ind w:firstLine="482" w:firstLineChars="200"/>
        <w:rPr>
          <w:rStyle w:val="34"/>
          <w:rFonts w:ascii="宋体" w:hAnsi="宋体" w:eastAsia="宋体" w:cs="宋体"/>
          <w:bCs/>
          <w:color w:val="auto"/>
          <w:sz w:val="24"/>
          <w:szCs w:val="24"/>
          <w:highlight w:val="none"/>
        </w:rPr>
      </w:pPr>
      <w:r>
        <w:rPr>
          <w:rStyle w:val="34"/>
          <w:rFonts w:hint="eastAsia" w:ascii="宋体" w:hAnsi="宋体" w:eastAsia="宋体" w:cs="宋体"/>
          <w:b/>
          <w:bCs w:val="0"/>
          <w:color w:val="auto"/>
          <w:sz w:val="24"/>
          <w:szCs w:val="24"/>
          <w:highlight w:val="none"/>
          <w:lang w:val="en-US" w:eastAsia="zh-CN"/>
        </w:rPr>
        <w:t>注：所有装备安全由乙方负全部责任。</w:t>
      </w:r>
    </w:p>
    <w:p w14:paraId="1CED922F">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工作服饰要求：</w:t>
      </w:r>
    </w:p>
    <w:p w14:paraId="26CBD277">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队员在工作出勤时间，应当根据季节时令，穿着统一的制式服装，佩戴统一的标志标识，并按规定佩戴帽徽、肩章、领花、臂章、胸徽、胸号等标志标识，不得佩戴与身份不符的其它标志标识或饰品。制式服装应当成套规范穿着，标配黑色皮带、黑色皮鞋，保持整洁完好，不得与便服混穿，不得披衣、敞怀、挽袖、卷裤腿。</w:t>
      </w:r>
    </w:p>
    <w:p w14:paraId="2FBB2EDF">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在合同签订后10天内，乙方必须按照招投标文件清单中的车辆、员工工作服饰及设备配置要求将车辆及设备配置至甲方指定现场核查，征得甲方同意后，人员、车辆及其他装置持证上岗；</w:t>
      </w:r>
      <w:r>
        <w:rPr>
          <w:rFonts w:hint="eastAsia" w:ascii="宋体" w:hAnsi="宋体" w:eastAsia="宋体" w:cs="宋体"/>
          <w:color w:val="auto"/>
          <w:kern w:val="0"/>
          <w:sz w:val="24"/>
          <w:szCs w:val="24"/>
          <w:highlight w:val="none"/>
          <w:lang w:val="en-US" w:eastAsia="zh-CN" w:bidi="ar-SA"/>
        </w:rPr>
        <w:t>乙方</w:t>
      </w:r>
      <w:r>
        <w:rPr>
          <w:rFonts w:hint="eastAsia" w:ascii="宋体" w:hAnsi="宋体" w:eastAsia="宋体" w:cs="宋体"/>
          <w:color w:val="auto"/>
          <w:kern w:val="0"/>
          <w:sz w:val="24"/>
          <w:szCs w:val="24"/>
          <w:highlight w:val="none"/>
          <w:lang w:val="zh-CN" w:eastAsia="zh-CN" w:bidi="ar-SA"/>
        </w:rPr>
        <w:t>作业车辆</w:t>
      </w:r>
      <w:r>
        <w:rPr>
          <w:rFonts w:hint="eastAsia" w:ascii="宋体" w:hAnsi="宋体" w:eastAsia="宋体" w:cs="宋体"/>
          <w:color w:val="auto"/>
          <w:kern w:val="0"/>
          <w:sz w:val="24"/>
          <w:szCs w:val="24"/>
          <w:highlight w:val="none"/>
          <w:lang w:val="en-US" w:eastAsia="zh-CN" w:bidi="ar-SA"/>
        </w:rPr>
        <w:t>需符合相关法律法规要求，车辆标记字样需通过甲方认可</w:t>
      </w:r>
      <w:r>
        <w:rPr>
          <w:rFonts w:hint="eastAsia" w:ascii="宋体" w:hAnsi="宋体" w:eastAsia="宋体" w:cs="宋体"/>
          <w:color w:val="auto"/>
          <w:kern w:val="0"/>
          <w:sz w:val="24"/>
          <w:szCs w:val="24"/>
          <w:highlight w:val="none"/>
          <w:lang w:val="zh-CN" w:eastAsia="zh-CN" w:bidi="ar-SA"/>
        </w:rPr>
        <w:t>；当天</w:t>
      </w:r>
      <w:r>
        <w:rPr>
          <w:rFonts w:hint="eastAsia" w:ascii="宋体" w:hAnsi="宋体" w:eastAsia="宋体" w:cs="宋体"/>
          <w:color w:val="auto"/>
          <w:kern w:val="0"/>
          <w:sz w:val="24"/>
          <w:szCs w:val="24"/>
          <w:highlight w:val="none"/>
          <w:lang w:val="en-US" w:eastAsia="zh-CN" w:bidi="ar-SA"/>
        </w:rPr>
        <w:t>工作</w:t>
      </w:r>
      <w:r>
        <w:rPr>
          <w:rFonts w:hint="eastAsia" w:ascii="宋体" w:hAnsi="宋体" w:eastAsia="宋体" w:cs="宋体"/>
          <w:color w:val="auto"/>
          <w:kern w:val="0"/>
          <w:sz w:val="24"/>
          <w:szCs w:val="24"/>
          <w:highlight w:val="none"/>
          <w:lang w:val="zh-CN" w:eastAsia="zh-CN" w:bidi="ar-SA"/>
        </w:rPr>
        <w:t>结束后须将执法记录仪中相关数据</w:t>
      </w:r>
      <w:r>
        <w:rPr>
          <w:rFonts w:hint="eastAsia" w:ascii="宋体" w:hAnsi="宋体" w:eastAsia="宋体" w:cs="宋体"/>
          <w:color w:val="auto"/>
          <w:kern w:val="0"/>
          <w:sz w:val="24"/>
          <w:szCs w:val="24"/>
          <w:highlight w:val="none"/>
          <w:lang w:val="en-US" w:eastAsia="zh-CN" w:bidi="ar-SA"/>
        </w:rPr>
        <w:t>及工作日志形成台账予以备份保存，随时供甲方查阅。</w:t>
      </w:r>
      <w:r>
        <w:rPr>
          <w:rFonts w:hint="eastAsia" w:ascii="宋体" w:hAnsi="宋体" w:eastAsia="宋体" w:cs="宋体"/>
          <w:color w:val="auto"/>
          <w:kern w:val="0"/>
          <w:sz w:val="24"/>
          <w:szCs w:val="24"/>
          <w:highlight w:val="none"/>
          <w:lang w:val="zh-CN" w:eastAsia="zh-CN" w:bidi="ar-SA"/>
        </w:rPr>
        <w:t>如乙方不能满足上述要求及甲方管理，甲方有权终止合同，乙方所交纳的履约保证金作违约金不予退还。</w:t>
      </w:r>
    </w:p>
    <w:p w14:paraId="0C8E62BD">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场所要求：中标单位自己需要提供一间固定办公室。</w:t>
      </w:r>
    </w:p>
    <w:p w14:paraId="62317657">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en-US" w:eastAsia="zh-CN" w:bidi="ar-SA"/>
        </w:rPr>
        <w:t>服务内容</w:t>
      </w:r>
    </w:p>
    <w:p w14:paraId="7DA812AE">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1、及时发现、劝阻出店经营、占道经营、建章占道、乱泼污水、乱倒垃圾、乱披乱挂、乱堆乱放、乱搭乱建等影响市容环境卫生的行为。</w:t>
      </w:r>
    </w:p>
    <w:p w14:paraId="6B49D004">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2、及时劝阻、引导流动商贩到指定的疏导点按时规范摆放或入店、入场经营；及时劝导放心早餐规范经营、按时收摊。</w:t>
      </w:r>
    </w:p>
    <w:p w14:paraId="79B9C88F">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3、对未经批准擅自设置门头店招、户外广告、落地灯箱</w:t>
      </w:r>
      <w:r>
        <w:rPr>
          <w:rFonts w:hint="eastAsia" w:ascii="宋体" w:hAnsi="宋体" w:eastAsia="宋体" w:cs="宋体"/>
          <w:color w:val="auto"/>
          <w:kern w:val="0"/>
          <w:sz w:val="24"/>
          <w:szCs w:val="24"/>
          <w:highlight w:val="none"/>
          <w:lang w:val="en-US" w:eastAsia="zh-CN" w:bidi="ar-SA"/>
        </w:rPr>
        <w:t>的行为及时劝导；</w:t>
      </w:r>
      <w:r>
        <w:rPr>
          <w:rFonts w:hint="eastAsia" w:ascii="宋体" w:hAnsi="宋体" w:eastAsia="宋体" w:cs="宋体"/>
          <w:color w:val="auto"/>
          <w:kern w:val="0"/>
          <w:sz w:val="24"/>
          <w:szCs w:val="24"/>
          <w:highlight w:val="none"/>
          <w:lang w:val="zh-CN" w:eastAsia="zh-CN" w:bidi="ar-SA"/>
        </w:rPr>
        <w:t>沿街派发商业性宣传品、户外走秀 使用高音喇叭叫卖以及从事促销、展览、咨询等活动劝阻。</w:t>
      </w:r>
    </w:p>
    <w:p w14:paraId="2B159B0D">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4、对不按规定占用盲道、人行道的机动车、非机动车乱停放行为及时进行劝阻，引导车主规范停车，做到集中定点有序停放。</w:t>
      </w:r>
    </w:p>
    <w:p w14:paraId="6FA4C1BF">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5、对可视范围内的“牛皮癣”(包括建筑物、构筑物、地面、设施等表面张贴、刻画、涂写的非法广告及宣传品、通讯号码以及其所产生的污垢，各种非法张贴在公共信息广告张贴栏以外的纸质或胶纸等广告)加强巡查。</w:t>
      </w:r>
    </w:p>
    <w:p w14:paraId="761A620C">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6、对交通设施、道路路面、路灯设施、排(污)水设施、花坛、绿地、树木损坏等行为进行劝阻，并上报有关职能部门。</w:t>
      </w:r>
    </w:p>
    <w:p w14:paraId="2AEC7BF0">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7、对乱倒生产、生活垃圾和建筑垃圾渣土进行劝阻，并上报有关职能部门。</w:t>
      </w:r>
    </w:p>
    <w:p w14:paraId="765A64AD">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8、对从事卜卦、算命、赌博、乞讨、卖艺等违法活动进行劝阻，并上报有关职能部门。</w:t>
      </w:r>
    </w:p>
    <w:p w14:paraId="29001A22">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en-US" w:eastAsia="zh-CN" w:bidi="ar-SA"/>
        </w:rPr>
        <w:t>9、</w:t>
      </w:r>
      <w:r>
        <w:rPr>
          <w:rFonts w:hint="eastAsia" w:ascii="宋体" w:hAnsi="宋体" w:eastAsia="宋体" w:cs="宋体"/>
          <w:color w:val="auto"/>
          <w:kern w:val="0"/>
          <w:sz w:val="24"/>
          <w:szCs w:val="24"/>
          <w:highlight w:val="none"/>
          <w:lang w:val="zh-CN" w:eastAsia="zh-CN" w:bidi="ar-SA"/>
        </w:rPr>
        <w:t>对擅自从事开挖道路、建筑物外部装修装饰、增设或者调整公共设施、乱拉乱接线等行为进行制止，并上报有关职能部门。</w:t>
      </w:r>
    </w:p>
    <w:p w14:paraId="25EC3579">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10、</w:t>
      </w:r>
      <w:r>
        <w:rPr>
          <w:rFonts w:hint="eastAsia" w:ascii="宋体" w:hAnsi="宋体" w:eastAsia="宋体" w:cs="宋体"/>
          <w:color w:val="auto"/>
          <w:kern w:val="0"/>
          <w:sz w:val="24"/>
          <w:szCs w:val="24"/>
          <w:highlight w:val="none"/>
          <w:lang w:val="en-US" w:eastAsia="zh-CN" w:bidi="ar-SA"/>
        </w:rPr>
        <w:t>配合做好区、市级马拉松比赛、龙舟比赛、</w:t>
      </w:r>
      <w:r>
        <w:rPr>
          <w:rFonts w:hint="eastAsia" w:ascii="宋体" w:hAnsi="宋体" w:eastAsia="宋体" w:cs="宋体"/>
          <w:color w:val="auto"/>
          <w:kern w:val="0"/>
          <w:sz w:val="24"/>
          <w:szCs w:val="24"/>
          <w:highlight w:val="none"/>
          <w:lang w:val="zh-CN" w:eastAsia="zh-CN" w:bidi="ar-SA"/>
        </w:rPr>
        <w:t>演艺活动等</w:t>
      </w:r>
      <w:r>
        <w:rPr>
          <w:rFonts w:hint="eastAsia" w:ascii="宋体" w:hAnsi="宋体" w:eastAsia="宋体" w:cs="宋体"/>
          <w:color w:val="auto"/>
          <w:kern w:val="0"/>
          <w:sz w:val="24"/>
          <w:szCs w:val="24"/>
          <w:highlight w:val="none"/>
          <w:lang w:val="en-US" w:eastAsia="zh-CN" w:bidi="ar-SA"/>
        </w:rPr>
        <w:t>安检服务，</w:t>
      </w:r>
      <w:r>
        <w:rPr>
          <w:rFonts w:hint="eastAsia" w:ascii="宋体" w:hAnsi="宋体" w:eastAsia="宋体" w:cs="宋体"/>
          <w:color w:val="auto"/>
          <w:kern w:val="0"/>
          <w:sz w:val="24"/>
          <w:szCs w:val="24"/>
          <w:highlight w:val="none"/>
          <w:lang w:val="zh-CN" w:eastAsia="zh-CN" w:bidi="ar-SA"/>
        </w:rPr>
        <w:t>赛事活动平面秩序维护、各类车辆的出入与停放管理、治安巡逻</w:t>
      </w:r>
      <w:r>
        <w:rPr>
          <w:rFonts w:hint="eastAsia" w:ascii="宋体" w:hAnsi="宋体" w:eastAsia="宋体" w:cs="宋体"/>
          <w:color w:val="auto"/>
          <w:kern w:val="0"/>
          <w:sz w:val="24"/>
          <w:szCs w:val="24"/>
          <w:highlight w:val="none"/>
          <w:lang w:val="en-US" w:eastAsia="zh-CN" w:bidi="ar-SA"/>
        </w:rPr>
        <w:t>等</w:t>
      </w:r>
      <w:r>
        <w:rPr>
          <w:rFonts w:hint="eastAsia" w:ascii="宋体" w:hAnsi="宋体" w:eastAsia="宋体" w:cs="宋体"/>
          <w:color w:val="auto"/>
          <w:kern w:val="0"/>
          <w:sz w:val="24"/>
          <w:szCs w:val="24"/>
          <w:highlight w:val="none"/>
          <w:lang w:val="zh-CN" w:eastAsia="zh-CN" w:bidi="ar-SA"/>
        </w:rPr>
        <w:t>安全保卫工作。</w:t>
      </w:r>
    </w:p>
    <w:p w14:paraId="0211066A">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en-US" w:eastAsia="zh-CN" w:bidi="ar-SA"/>
        </w:rPr>
        <w:t>11、</w:t>
      </w:r>
      <w:r>
        <w:rPr>
          <w:rFonts w:hint="eastAsia" w:ascii="宋体" w:hAnsi="宋体" w:eastAsia="宋体" w:cs="宋体"/>
          <w:color w:val="auto"/>
          <w:kern w:val="0"/>
          <w:sz w:val="24"/>
          <w:szCs w:val="24"/>
          <w:highlight w:val="none"/>
          <w:lang w:val="zh-CN" w:eastAsia="zh-CN" w:bidi="ar-SA"/>
        </w:rPr>
        <w:t>完成甲方交付的其它管理任务。</w:t>
      </w:r>
    </w:p>
    <w:p w14:paraId="79245977">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eastAsia" w:ascii="宋体" w:hAnsi="宋体" w:eastAsia="宋体" w:cs="宋体"/>
          <w:color w:val="auto"/>
          <w:kern w:val="0"/>
          <w:sz w:val="24"/>
          <w:szCs w:val="24"/>
          <w:highlight w:val="none"/>
          <w:lang w:val="zh-CN" w:eastAsia="zh-CN" w:bidi="ar-SA"/>
        </w:rPr>
        <w:sectPr>
          <w:pgSz w:w="11906" w:h="16838"/>
          <w:pgMar w:top="1440" w:right="1800" w:bottom="1440" w:left="1800" w:header="851" w:footer="992" w:gutter="0"/>
          <w:pgNumType w:fmt="decimal"/>
          <w:cols w:space="425" w:num="1"/>
          <w:docGrid w:type="lines" w:linePitch="312" w:charSpace="0"/>
        </w:sectPr>
      </w:pPr>
    </w:p>
    <w:p w14:paraId="3880A673">
      <w:pPr>
        <w:pStyle w:val="14"/>
        <w:keepNext/>
        <w:spacing w:beforeAutospacing="0" w:afterAutospacing="0"/>
        <w:jc w:val="center"/>
        <w:rPr>
          <w:highlight w:val="none"/>
        </w:rPr>
      </w:pPr>
      <w:bookmarkStart w:id="183" w:name="_Toc120614281"/>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评标方法与评标标准</w:t>
      </w:r>
    </w:p>
    <w:p w14:paraId="423C8189">
      <w:pPr>
        <w:pStyle w:val="14"/>
        <w:spacing w:beforeAutospacing="0" w:afterAutospacing="0"/>
        <w:jc w:val="both"/>
        <w:rPr>
          <w:highlight w:val="none"/>
        </w:rPr>
      </w:pPr>
      <w:r>
        <w:rPr>
          <w:highlight w:val="none"/>
        </w:rPr>
        <w:t> </w:t>
      </w:r>
    </w:p>
    <w:p w14:paraId="668FEA9F">
      <w:pPr>
        <w:snapToGrid w:val="0"/>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一、定标原则</w:t>
      </w:r>
    </w:p>
    <w:p w14:paraId="2C328EAE">
      <w:pPr>
        <w:snapToGrid w:val="0"/>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bCs/>
          <w:color w:val="000000"/>
          <w:sz w:val="24"/>
          <w:szCs w:val="24"/>
          <w:highlight w:val="none"/>
        </w:rPr>
        <w:t>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法</w:t>
      </w:r>
      <w:r>
        <w:rPr>
          <w:rFonts w:hint="eastAsia" w:ascii="宋体" w:hAnsi="宋体" w:eastAsia="宋体" w:cs="宋体"/>
          <w:bCs/>
          <w:color w:val="000000"/>
          <w:sz w:val="24"/>
          <w:szCs w:val="24"/>
          <w:highlight w:val="none"/>
          <w:lang w:eastAsia="zh-CN"/>
        </w:rPr>
        <w:t>，</w:t>
      </w:r>
      <w:r>
        <w:rPr>
          <w:rFonts w:hint="eastAsia" w:ascii="宋体" w:hAnsi="宋体" w:eastAsia="宋体" w:cs="宋体"/>
          <w:color w:val="000000"/>
          <w:kern w:val="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000000"/>
          <w:kern w:val="0"/>
          <w:sz w:val="24"/>
          <w:szCs w:val="24"/>
          <w:highlight w:val="none"/>
          <w:lang w:val="en-US" w:eastAsia="zh-CN"/>
        </w:rPr>
        <w:t>并列</w:t>
      </w:r>
      <w:r>
        <w:rPr>
          <w:rFonts w:hint="eastAsia" w:ascii="宋体" w:hAnsi="宋体" w:eastAsia="宋体" w:cs="宋体"/>
          <w:color w:val="000000"/>
          <w:kern w:val="0"/>
          <w:sz w:val="24"/>
          <w:szCs w:val="24"/>
          <w:highlight w:val="none"/>
        </w:rPr>
        <w:t>。投标文件满足招标文件全部实质性要求，且按照评审因素的量化指标评审得分最高的投标人为排名第一的中标候选人，本项目选取1名中标候选人。</w:t>
      </w:r>
    </w:p>
    <w:p w14:paraId="7A676DAE">
      <w:pPr>
        <w:pStyle w:val="14"/>
        <w:spacing w:before="120" w:beforeAutospacing="0" w:after="120" w:afterAutospacing="0" w:line="360" w:lineRule="auto"/>
        <w:ind w:firstLine="441"/>
        <w:rPr>
          <w:rFonts w:hint="eastAsia" w:ascii="宋体" w:hAnsi="宋体" w:eastAsia="宋体" w:cs="宋体"/>
          <w:highlight w:val="none"/>
        </w:rPr>
      </w:pPr>
      <w:r>
        <w:rPr>
          <w:rFonts w:hint="eastAsia" w:ascii="宋体" w:hAnsi="宋体" w:eastAsia="宋体" w:cs="宋体"/>
          <w:b/>
          <w:color w:val="000000"/>
          <w:highlight w:val="none"/>
        </w:rPr>
        <w:t>政府采购政策功能落实</w:t>
      </w:r>
    </w:p>
    <w:p w14:paraId="20E729E2">
      <w:pPr>
        <w:snapToGrid w:val="0"/>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1、小微型企业价格扣除</w:t>
      </w:r>
    </w:p>
    <w:p w14:paraId="5A19E5A0">
      <w:pPr>
        <w:snapToGrid w:val="0"/>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（1）本项目不专门面向中小企业采购，对</w:t>
      </w:r>
      <w:r>
        <w:rPr>
          <w:rFonts w:hint="eastAsia" w:ascii="宋体" w:hAnsi="宋体" w:eastAsia="宋体" w:cs="宋体"/>
          <w:bCs/>
          <w:color w:val="000000"/>
          <w:sz w:val="24"/>
          <w:szCs w:val="24"/>
          <w:highlight w:val="none"/>
          <w:lang w:val="en-US" w:eastAsia="zh-CN"/>
        </w:rPr>
        <w:t>符合规定的</w:t>
      </w:r>
      <w:r>
        <w:rPr>
          <w:rFonts w:hint="eastAsia" w:ascii="宋体" w:hAnsi="宋体" w:eastAsia="宋体" w:cs="宋体"/>
          <w:bCs/>
          <w:color w:val="000000"/>
          <w:sz w:val="24"/>
          <w:szCs w:val="24"/>
          <w:highlight w:val="none"/>
        </w:rPr>
        <w:t>小型和微型企业</w:t>
      </w:r>
      <w:r>
        <w:rPr>
          <w:rFonts w:hint="eastAsia" w:ascii="宋体" w:hAnsi="宋体" w:eastAsia="宋体" w:cs="宋体"/>
          <w:bCs/>
          <w:color w:val="000000"/>
          <w:sz w:val="24"/>
          <w:szCs w:val="24"/>
          <w:highlight w:val="none"/>
          <w:lang w:val="en-US" w:eastAsia="zh-CN"/>
        </w:rPr>
        <w:t>报价</w:t>
      </w:r>
      <w:r>
        <w:rPr>
          <w:rFonts w:hint="eastAsia" w:ascii="宋体" w:hAnsi="宋体" w:eastAsia="宋体" w:cs="宋体"/>
          <w:bCs/>
          <w:color w:val="000000"/>
          <w:sz w:val="24"/>
          <w:szCs w:val="24"/>
          <w:highlight w:val="none"/>
        </w:rPr>
        <w:t>给予20%的扣除价格，用扣除后的价格参与评审。</w:t>
      </w:r>
    </w:p>
    <w:p w14:paraId="73B3C08A">
      <w:pPr>
        <w:snapToGrid w:val="0"/>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（2）供应商需按照采购文件的要求提供相应的《</w:t>
      </w:r>
      <w:r>
        <w:rPr>
          <w:rFonts w:hint="eastAsia" w:ascii="宋体" w:hAnsi="宋体" w:eastAsia="宋体" w:cs="宋体"/>
          <w:bCs/>
          <w:color w:val="000000"/>
          <w:sz w:val="24"/>
          <w:szCs w:val="24"/>
          <w:highlight w:val="none"/>
          <w:lang w:val="en-US" w:eastAsia="zh-CN"/>
        </w:rPr>
        <w:t>中小</w:t>
      </w:r>
      <w:r>
        <w:rPr>
          <w:rFonts w:hint="eastAsia" w:ascii="宋体" w:hAnsi="宋体" w:eastAsia="宋体" w:cs="宋体"/>
          <w:bCs/>
          <w:color w:val="000000"/>
          <w:sz w:val="24"/>
          <w:szCs w:val="24"/>
          <w:highlight w:val="none"/>
        </w:rPr>
        <w:t>企业声明函》。</w:t>
      </w:r>
    </w:p>
    <w:p w14:paraId="73ACDBA4">
      <w:pPr>
        <w:snapToGrid w:val="0"/>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（3）企业标准请参照《关于印发中小企业划型标准规定的通知》（工信部联企业</w:t>
      </w:r>
      <w:r>
        <w:rPr>
          <w:rFonts w:hint="eastAsia" w:ascii="宋体" w:hAnsi="宋体" w:eastAsia="宋体" w:cs="宋体"/>
          <w:bCs/>
          <w:color w:val="000000"/>
          <w:sz w:val="24"/>
          <w:szCs w:val="24"/>
          <w:highlight w:val="none"/>
          <w:lang w:eastAsia="zh-CN"/>
        </w:rPr>
        <w:t>〔2011〕300号</w:t>
      </w:r>
      <w:r>
        <w:rPr>
          <w:rFonts w:hint="eastAsia" w:ascii="宋体" w:hAnsi="宋体" w:eastAsia="宋体" w:cs="宋体"/>
          <w:bCs/>
          <w:color w:val="000000"/>
          <w:sz w:val="24"/>
          <w:szCs w:val="24"/>
          <w:highlight w:val="none"/>
        </w:rPr>
        <w:t>）文件规定自行填写。</w:t>
      </w:r>
    </w:p>
    <w:p w14:paraId="123A9836">
      <w:pPr>
        <w:snapToGrid w:val="0"/>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2、残疾人福利单位价格扣除</w:t>
      </w:r>
    </w:p>
    <w:p w14:paraId="48BAD8C1">
      <w:pPr>
        <w:snapToGrid w:val="0"/>
        <w:spacing w:line="360" w:lineRule="auto"/>
        <w:ind w:firstLine="480" w:firstLineChars="20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（1）本项目对残疾人福利性单位视同小型、微型企业，给予20%</w:t>
      </w:r>
      <w:r>
        <w:rPr>
          <w:rFonts w:hint="eastAsia" w:ascii="宋体" w:hAnsi="宋体" w:eastAsia="宋体" w:cs="宋体"/>
          <w:bCs/>
          <w:color w:val="000000"/>
          <w:sz w:val="24"/>
          <w:szCs w:val="24"/>
          <w:highlight w:val="none"/>
          <w:lang w:eastAsia="zh-CN"/>
        </w:rPr>
        <w:t>的价格扣除。</w:t>
      </w:r>
    </w:p>
    <w:p w14:paraId="6DDC4FB5">
      <w:pPr>
        <w:snapToGrid w:val="0"/>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（2）残疾人福利单位需按照采购文件的要求提供《残疾人福利性单位声明函》。</w:t>
      </w:r>
    </w:p>
    <w:p w14:paraId="05D26FC5">
      <w:pPr>
        <w:snapToGrid w:val="0"/>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（3）残疾人福利单位标准请参照《关于促进残疾人就业政府采购政策的通知》（财库〔2017〕141号）。</w:t>
      </w:r>
    </w:p>
    <w:p w14:paraId="04DB8360">
      <w:pPr>
        <w:snapToGrid w:val="0"/>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3、监狱和戒毒企业价格扣除</w:t>
      </w:r>
    </w:p>
    <w:p w14:paraId="7D3DF823">
      <w:pPr>
        <w:snapToGrid w:val="0"/>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（1）本项目对监狱和戒毒企业（简称监狱企业）视同小型、微型企业，给予20%</w:t>
      </w:r>
      <w:r>
        <w:rPr>
          <w:rFonts w:hint="eastAsia" w:ascii="宋体" w:hAnsi="宋体" w:eastAsia="宋体" w:cs="宋体"/>
          <w:bCs/>
          <w:color w:val="000000"/>
          <w:sz w:val="24"/>
          <w:szCs w:val="24"/>
          <w:highlight w:val="none"/>
          <w:lang w:eastAsia="zh-CN"/>
        </w:rPr>
        <w:t>的价格扣除。</w:t>
      </w:r>
    </w:p>
    <w:p w14:paraId="734F155E">
      <w:pPr>
        <w:snapToGrid w:val="0"/>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4B4D0267">
      <w:pPr>
        <w:snapToGrid w:val="0"/>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（3）监狱企业标准请参照《关于政府采购支持监狱企业发展有关问题的通</w:t>
      </w:r>
    </w:p>
    <w:p w14:paraId="057CD6F6">
      <w:pPr>
        <w:snapToGrid w:val="0"/>
        <w:spacing w:line="360" w:lineRule="auto"/>
        <w:ind w:firstLine="480" w:firstLineChars="200"/>
        <w:rPr>
          <w:rFonts w:hint="eastAsia" w:ascii="宋体" w:hAnsi="宋体" w:eastAsia="宋体" w:cs="宋体"/>
          <w:bCs/>
          <w:color w:val="000000"/>
          <w:sz w:val="24"/>
          <w:szCs w:val="24"/>
          <w:highlight w:val="none"/>
        </w:rPr>
      </w:pPr>
    </w:p>
    <w:p w14:paraId="48706D45">
      <w:pPr>
        <w:snapToGrid w:val="0"/>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知》（财库</w:t>
      </w:r>
      <w:r>
        <w:rPr>
          <w:rFonts w:hint="eastAsia" w:ascii="宋体" w:hAnsi="宋体" w:eastAsia="宋体" w:cs="宋体"/>
          <w:bCs/>
          <w:color w:val="000000"/>
          <w:sz w:val="24"/>
          <w:szCs w:val="24"/>
          <w:highlight w:val="none"/>
          <w:lang w:eastAsia="zh-CN"/>
        </w:rPr>
        <w:t>〔2014〕68号</w:t>
      </w:r>
      <w:r>
        <w:rPr>
          <w:rFonts w:hint="eastAsia" w:ascii="宋体" w:hAnsi="宋体" w:eastAsia="宋体" w:cs="宋体"/>
          <w:bCs/>
          <w:color w:val="000000"/>
          <w:sz w:val="24"/>
          <w:szCs w:val="24"/>
          <w:highlight w:val="none"/>
        </w:rPr>
        <w:t>）。</w:t>
      </w:r>
    </w:p>
    <w:p w14:paraId="70D78B33">
      <w:pPr>
        <w:snapToGrid w:val="0"/>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4、残疾人福利单位、监狱企业属于小型、微型企业的，不重复享受政策。</w:t>
      </w:r>
    </w:p>
    <w:p w14:paraId="018A8531">
      <w:pPr>
        <w:snapToGrid w:val="0"/>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2E3EB1FA">
      <w:pPr>
        <w:snapToGrid w:val="0"/>
        <w:spacing w:line="360" w:lineRule="auto"/>
        <w:ind w:firstLine="480" w:firstLineChars="20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6、联合体各方均为小型、微型企业（残疾人福利单位、监狱企业）的，联合体享受20%</w:t>
      </w:r>
      <w:r>
        <w:rPr>
          <w:rFonts w:hint="eastAsia" w:ascii="宋体" w:hAnsi="宋体" w:eastAsia="宋体" w:cs="宋体"/>
          <w:bCs/>
          <w:color w:val="000000"/>
          <w:sz w:val="24"/>
          <w:szCs w:val="24"/>
          <w:highlight w:val="none"/>
          <w:lang w:eastAsia="zh-CN"/>
        </w:rPr>
        <w:t>的价格扣除。</w:t>
      </w:r>
    </w:p>
    <w:p w14:paraId="54B4DE2D">
      <w:pPr>
        <w:adjustRightInd w:val="0"/>
        <w:spacing w:line="400" w:lineRule="exact"/>
        <w:ind w:firstLine="480" w:firstLineChars="20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7、采购本国产品的支持政策</w:t>
      </w:r>
    </w:p>
    <w:p w14:paraId="2AE6C8C6">
      <w:pPr>
        <w:adjustRightInd w:val="0"/>
        <w:spacing w:line="400" w:lineRule="exact"/>
        <w:ind w:firstLine="480" w:firstLineChars="20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val="0"/>
          <w:bCs w:val="0"/>
          <w:color w:val="auto"/>
          <w:sz w:val="24"/>
          <w:szCs w:val="24"/>
          <w:u w:val="single"/>
        </w:rPr>
        <w:t>20%</w:t>
      </w:r>
      <w:r>
        <w:rPr>
          <w:rFonts w:hint="eastAsia" w:ascii="宋体" w:hAnsi="宋体" w:eastAsia="宋体" w:cs="宋体"/>
          <w:b w:val="0"/>
          <w:bCs w:val="0"/>
          <w:color w:val="auto"/>
          <w:sz w:val="24"/>
          <w:szCs w:val="24"/>
        </w:rPr>
        <w:t>的价格扣除，用扣除后的价格参与评审。</w:t>
      </w:r>
    </w:p>
    <w:p w14:paraId="09B04A53">
      <w:pPr>
        <w:adjustRightInd w:val="0"/>
        <w:spacing w:line="400" w:lineRule="exact"/>
        <w:ind w:firstLine="480" w:firstLineChars="200"/>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rPr>
        <w:t>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val="0"/>
          <w:bCs w:val="0"/>
          <w:color w:val="auto"/>
          <w:sz w:val="24"/>
          <w:szCs w:val="24"/>
          <w:u w:val="single"/>
        </w:rPr>
        <w:t>80%</w:t>
      </w:r>
      <w:r>
        <w:rPr>
          <w:rFonts w:hint="eastAsia" w:ascii="宋体" w:hAnsi="宋体" w:eastAsia="宋体" w:cs="宋体"/>
          <w:b w:val="0"/>
          <w:bCs w:val="0"/>
          <w:color w:val="auto"/>
          <w:sz w:val="24"/>
          <w:szCs w:val="24"/>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val="0"/>
          <w:bCs w:val="0"/>
          <w:color w:val="auto"/>
          <w:sz w:val="24"/>
          <w:szCs w:val="24"/>
          <w:u w:val="single"/>
        </w:rPr>
        <w:t>20%</w:t>
      </w:r>
      <w:r>
        <w:rPr>
          <w:rFonts w:hint="eastAsia" w:ascii="宋体" w:hAnsi="宋体" w:eastAsia="宋体" w:cs="宋体"/>
          <w:b w:val="0"/>
          <w:bCs w:val="0"/>
          <w:color w:val="auto"/>
          <w:sz w:val="24"/>
          <w:szCs w:val="24"/>
        </w:rPr>
        <w:t>的价格扣除，用扣除后的价格参与评审。供应商未填写比例数值，或比例数值</w:t>
      </w:r>
      <w:r>
        <w:rPr>
          <w:rFonts w:hint="eastAsia" w:ascii="宋体" w:hAnsi="宋体" w:eastAsia="宋体" w:cs="宋体"/>
          <w:b w:val="0"/>
          <w:bCs w:val="0"/>
          <w:color w:val="auto"/>
          <w:sz w:val="24"/>
          <w:szCs w:val="24"/>
          <w:highlight w:val="none"/>
        </w:rPr>
        <w:t>未达到80%的，将不享受本国产品价格评审优惠。</w:t>
      </w:r>
    </w:p>
    <w:p w14:paraId="6EA31C64">
      <w:pPr>
        <w:adjustRightInd w:val="0"/>
        <w:spacing w:line="400" w:lineRule="exact"/>
        <w:ind w:firstLine="480" w:firstLineChars="200"/>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7.3 供应商需按照招标文件的要求提供《关于符合本国产品标准的声明函》（以下简称《声明函》），如不提供将不享受本国产品价格评审优惠。</w:t>
      </w:r>
    </w:p>
    <w:p w14:paraId="1D605D9F">
      <w:pPr>
        <w:adjustRightInd w:val="0"/>
        <w:spacing w:line="400" w:lineRule="exact"/>
        <w:ind w:firstLine="480" w:firstLineChars="20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highlight w:val="none"/>
        </w:rPr>
        <w:t>7.4 供应商需在《声明函》中逐一、准确填写产品名称、厂名、生产厂址三项信息（《声明函》中用</w:t>
      </w:r>
      <w:r>
        <w:rPr>
          <w:rFonts w:hint="eastAsia" w:ascii="宋体" w:hAnsi="宋体" w:eastAsia="宋体" w:cs="宋体"/>
          <w:b w:val="0"/>
          <w:bCs w:val="0"/>
          <w:color w:val="auto"/>
          <w:sz w:val="24"/>
          <w:szCs w:val="24"/>
          <w:highlight w:val="none"/>
          <w:lang w:val="en-US" w:eastAsia="zh-CN"/>
        </w:rPr>
        <w:t>横</w:t>
      </w:r>
      <w:r>
        <w:rPr>
          <w:rFonts w:hint="eastAsia" w:ascii="宋体" w:hAnsi="宋体" w:eastAsia="宋体" w:cs="宋体"/>
          <w:b w:val="0"/>
          <w:bCs w:val="0"/>
          <w:color w:val="auto"/>
          <w:sz w:val="24"/>
          <w:szCs w:val="24"/>
          <w:highlight w:val="none"/>
        </w:rPr>
        <w:t>线划除的地方无需填写），三项信</w:t>
      </w:r>
      <w:r>
        <w:rPr>
          <w:rFonts w:hint="eastAsia" w:ascii="宋体" w:hAnsi="宋体" w:eastAsia="宋体" w:cs="宋体"/>
          <w:b w:val="0"/>
          <w:bCs w:val="0"/>
          <w:color w:val="auto"/>
          <w:sz w:val="24"/>
          <w:szCs w:val="24"/>
        </w:rPr>
        <w:t>息中任意一项未填写的视为该项产品不符合本国产品标准，不享受本国产品价格评审优惠。</w:t>
      </w:r>
    </w:p>
    <w:p w14:paraId="0DC12900">
      <w:pPr>
        <w:adjustRightInd w:val="0"/>
        <w:spacing w:line="400" w:lineRule="exact"/>
        <w:ind w:firstLine="480" w:firstLineChars="200"/>
        <w:jc w:val="left"/>
        <w:textAlignment w:val="baseline"/>
        <w:rPr>
          <w:rFonts w:hint="eastAsia" w:ascii="宋体" w:hAnsi="宋体" w:eastAsia="宋体" w:cs="宋体"/>
          <w:b w:val="0"/>
          <w:bCs w:val="0"/>
          <w:color w:val="auto"/>
          <w:highlight w:val="none"/>
          <w:u w:val="single"/>
          <w:lang w:eastAsia="zh-CN"/>
        </w:rPr>
      </w:pPr>
      <w:r>
        <w:rPr>
          <w:rFonts w:hint="eastAsia" w:ascii="宋体" w:hAnsi="宋体" w:eastAsia="宋体" w:cs="宋体"/>
          <w:b w:val="0"/>
          <w:bCs w:val="0"/>
          <w:color w:val="auto"/>
          <w:sz w:val="24"/>
          <w:szCs w:val="24"/>
        </w:rPr>
        <w:t>7.5 评标过程中，如发现供应商在《声明函》内容含义不明确、同类事项与投标（响应）文件表述不一致或者有明显文字错误等情况的，评标委员会应当</w:t>
      </w:r>
      <w:r>
        <w:rPr>
          <w:rFonts w:hint="eastAsia" w:ascii="宋体" w:hAnsi="宋体" w:eastAsia="宋体" w:cs="宋体"/>
          <w:b w:val="0"/>
          <w:bCs w:val="0"/>
          <w:color w:val="auto"/>
          <w:sz w:val="24"/>
          <w:szCs w:val="24"/>
          <w:lang w:val="en-US" w:eastAsia="zh-CN"/>
        </w:rPr>
        <w:t>在苏采云系统</w:t>
      </w:r>
      <w:r>
        <w:rPr>
          <w:rFonts w:hint="eastAsia" w:ascii="宋体" w:hAnsi="宋体" w:eastAsia="宋体" w:cs="宋体"/>
          <w:b w:val="0"/>
          <w:bCs w:val="0"/>
          <w:color w:val="auto"/>
          <w:sz w:val="24"/>
          <w:szCs w:val="24"/>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95098B7">
      <w:pPr>
        <w:snapToGrid w:val="0"/>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、严格执行政府采购关于支持节能产品、环境标志产品的相关政策规定。如本次采购的产品属于财政部、国家发展改革委、生态</w:t>
      </w:r>
      <w:r>
        <w:rPr>
          <w:rFonts w:hint="eastAsia" w:ascii="宋体" w:hAnsi="宋体" w:eastAsia="宋体" w:cs="宋体"/>
          <w:bCs/>
          <w:color w:val="000000"/>
          <w:sz w:val="24"/>
          <w:szCs w:val="24"/>
          <w:highlight w:val="none"/>
        </w:rPr>
        <w:t>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rPr>
        <w:t>。</w:t>
      </w:r>
      <w:r>
        <w:rPr>
          <w:rFonts w:hint="eastAsia" w:ascii="宋体" w:hAnsi="宋体" w:eastAsia="宋体" w:cs="宋体"/>
          <w:bCs/>
          <w:color w:val="000000"/>
          <w:sz w:val="24"/>
          <w:szCs w:val="24"/>
          <w:highlight w:val="none"/>
        </w:rPr>
        <w:t>其他条件相同情况下，应当优先采购节能产品、环境标志产品。</w:t>
      </w:r>
    </w:p>
    <w:p w14:paraId="38BD4644">
      <w:pPr>
        <w:spacing w:line="360" w:lineRule="auto"/>
        <w:rPr>
          <w:rFonts w:asciiTheme="minorEastAsia" w:hAnsiTheme="minorEastAsia"/>
          <w:b/>
          <w:sz w:val="24"/>
        </w:rPr>
      </w:pPr>
      <w:r>
        <w:rPr>
          <w:rFonts w:hint="eastAsia" w:asciiTheme="minorEastAsia" w:hAnsiTheme="minorEastAsia"/>
          <w:b/>
          <w:sz w:val="24"/>
        </w:rPr>
        <w:t>二、评标标准</w:t>
      </w:r>
    </w:p>
    <w:p w14:paraId="4400D884">
      <w:pPr>
        <w:spacing w:line="360" w:lineRule="auto"/>
        <w:ind w:firstLine="480"/>
        <w:rPr>
          <w:rFonts w:asciiTheme="minorEastAsia" w:hAnsiTheme="minorEastAsia"/>
          <w:sz w:val="24"/>
        </w:rPr>
      </w:pPr>
      <w:r>
        <w:rPr>
          <w:rFonts w:asciiTheme="minorEastAsia" w:hAnsiTheme="minorEastAsia"/>
          <w:sz w:val="24"/>
        </w:rPr>
        <w:t>本项目评分总分值为100分。</w:t>
      </w:r>
    </w:p>
    <w:tbl>
      <w:tblPr>
        <w:tblStyle w:val="16"/>
        <w:tblW w:w="5536" w:type="pct"/>
        <w:jc w:val="center"/>
        <w:tblLayout w:type="fixed"/>
        <w:tblCellMar>
          <w:top w:w="0" w:type="dxa"/>
          <w:left w:w="0" w:type="dxa"/>
          <w:bottom w:w="0" w:type="dxa"/>
          <w:right w:w="0" w:type="dxa"/>
        </w:tblCellMar>
      </w:tblPr>
      <w:tblGrid>
        <w:gridCol w:w="539"/>
        <w:gridCol w:w="1154"/>
        <w:gridCol w:w="734"/>
        <w:gridCol w:w="6780"/>
      </w:tblGrid>
      <w:tr w14:paraId="3E2AAFEC">
        <w:tblPrEx>
          <w:tblCellMar>
            <w:top w:w="0" w:type="dxa"/>
            <w:left w:w="0" w:type="dxa"/>
            <w:bottom w:w="0" w:type="dxa"/>
            <w:right w:w="0" w:type="dxa"/>
          </w:tblCellMar>
        </w:tblPrEx>
        <w:trPr>
          <w:trHeight w:val="482"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vAlign w:val="center"/>
          </w:tcPr>
          <w:p w14:paraId="270E80FA">
            <w:pPr>
              <w:autoSpaceDE w:val="0"/>
              <w:autoSpaceDN w:val="0"/>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1153" w:type="dxa"/>
            <w:tcBorders>
              <w:top w:val="single" w:color="auto" w:sz="4" w:space="0"/>
              <w:left w:val="single" w:color="auto" w:sz="4" w:space="0"/>
              <w:bottom w:val="single" w:color="auto" w:sz="4" w:space="0"/>
              <w:right w:val="single" w:color="auto" w:sz="4" w:space="0"/>
              <w:tl2br w:val="nil"/>
              <w:tr2bl w:val="nil"/>
            </w:tcBorders>
            <w:vAlign w:val="center"/>
          </w:tcPr>
          <w:p w14:paraId="42F6B957">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评分项目</w:t>
            </w:r>
          </w:p>
        </w:tc>
        <w:tc>
          <w:tcPr>
            <w:tcW w:w="733" w:type="dxa"/>
            <w:tcBorders>
              <w:top w:val="single" w:color="auto" w:sz="4" w:space="0"/>
              <w:left w:val="single" w:color="auto" w:sz="4" w:space="0"/>
              <w:bottom w:val="single" w:color="auto" w:sz="4" w:space="0"/>
              <w:right w:val="single" w:color="auto" w:sz="4" w:space="0"/>
              <w:tl2br w:val="nil"/>
              <w:tr2bl w:val="nil"/>
            </w:tcBorders>
            <w:vAlign w:val="center"/>
          </w:tcPr>
          <w:p w14:paraId="02BD0D88">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分值</w:t>
            </w:r>
          </w:p>
        </w:tc>
        <w:tc>
          <w:tcPr>
            <w:tcW w:w="6773" w:type="dxa"/>
            <w:tcBorders>
              <w:top w:val="single" w:color="auto" w:sz="4" w:space="0"/>
              <w:left w:val="single" w:color="auto" w:sz="4" w:space="0"/>
              <w:bottom w:val="single" w:color="auto" w:sz="4" w:space="0"/>
              <w:right w:val="single" w:color="auto" w:sz="4" w:space="0"/>
              <w:tl2br w:val="nil"/>
              <w:tr2bl w:val="nil"/>
            </w:tcBorders>
            <w:vAlign w:val="center"/>
          </w:tcPr>
          <w:p w14:paraId="792CDE3E">
            <w:pPr>
              <w:spacing w:line="400" w:lineRule="exact"/>
              <w:ind w:firstLine="420" w:firstLineChars="200"/>
              <w:jc w:val="center"/>
              <w:rPr>
                <w:rFonts w:hint="eastAsia" w:ascii="宋体" w:hAnsi="宋体" w:eastAsia="宋体" w:cs="宋体"/>
                <w:color w:val="auto"/>
                <w:sz w:val="21"/>
                <w:szCs w:val="21"/>
              </w:rPr>
            </w:pPr>
            <w:r>
              <w:rPr>
                <w:rFonts w:hint="eastAsia" w:ascii="宋体" w:hAnsi="宋体" w:eastAsia="宋体" w:cs="宋体"/>
                <w:color w:val="auto"/>
                <w:sz w:val="21"/>
                <w:szCs w:val="21"/>
              </w:rPr>
              <w:t>评分标准</w:t>
            </w:r>
          </w:p>
        </w:tc>
      </w:tr>
      <w:tr w14:paraId="0DFD6A08">
        <w:tblPrEx>
          <w:tblCellMar>
            <w:top w:w="0" w:type="dxa"/>
            <w:left w:w="0" w:type="dxa"/>
            <w:bottom w:w="0" w:type="dxa"/>
            <w:right w:w="0" w:type="dxa"/>
          </w:tblCellMar>
        </w:tblPrEx>
        <w:trPr>
          <w:trHeight w:val="1813"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vAlign w:val="center"/>
          </w:tcPr>
          <w:p w14:paraId="4C6E1299">
            <w:pPr>
              <w:autoSpaceDE w:val="0"/>
              <w:autoSpaceDN w:val="0"/>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153" w:type="dxa"/>
            <w:tcBorders>
              <w:top w:val="single" w:color="auto" w:sz="4" w:space="0"/>
              <w:left w:val="single" w:color="auto" w:sz="4" w:space="0"/>
              <w:bottom w:val="single" w:color="auto" w:sz="4" w:space="0"/>
              <w:right w:val="single" w:color="auto" w:sz="4" w:space="0"/>
              <w:tl2br w:val="nil"/>
              <w:tr2bl w:val="nil"/>
            </w:tcBorders>
            <w:vAlign w:val="center"/>
          </w:tcPr>
          <w:p w14:paraId="45AD02DC">
            <w:pPr>
              <w:autoSpaceDE w:val="0"/>
              <w:autoSpaceDN w:val="0"/>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投标报价</w:t>
            </w:r>
          </w:p>
        </w:tc>
        <w:tc>
          <w:tcPr>
            <w:tcW w:w="733" w:type="dxa"/>
            <w:tcBorders>
              <w:top w:val="single" w:color="auto" w:sz="4" w:space="0"/>
              <w:left w:val="single" w:color="auto" w:sz="4" w:space="0"/>
              <w:bottom w:val="single" w:color="auto" w:sz="4" w:space="0"/>
              <w:right w:val="single" w:color="auto" w:sz="4" w:space="0"/>
              <w:tl2br w:val="nil"/>
              <w:tr2bl w:val="nil"/>
            </w:tcBorders>
            <w:vAlign w:val="center"/>
          </w:tcPr>
          <w:p w14:paraId="79EB494A">
            <w:pPr>
              <w:autoSpaceDE w:val="0"/>
              <w:autoSpaceDN w:val="0"/>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0分</w:t>
            </w:r>
          </w:p>
        </w:tc>
        <w:tc>
          <w:tcPr>
            <w:tcW w:w="6773" w:type="dxa"/>
            <w:tcBorders>
              <w:top w:val="single" w:color="auto" w:sz="4" w:space="0"/>
              <w:left w:val="single" w:color="auto" w:sz="4" w:space="0"/>
              <w:bottom w:val="single" w:color="auto" w:sz="4" w:space="0"/>
              <w:right w:val="single" w:color="auto" w:sz="4" w:space="0"/>
              <w:tl2br w:val="nil"/>
              <w:tr2bl w:val="nil"/>
            </w:tcBorders>
            <w:vAlign w:val="center"/>
          </w:tcPr>
          <w:p w14:paraId="0AF7601B">
            <w:pPr>
              <w:keepNext w:val="0"/>
              <w:keepLines w:val="0"/>
              <w:pageBreakBefore w:val="0"/>
              <w:widowControl w:val="0"/>
              <w:kinsoku/>
              <w:wordWrap/>
              <w:overflowPunct/>
              <w:topLinePunct w:val="0"/>
              <w:bidi w:val="0"/>
              <w:snapToGrid w:val="0"/>
              <w:spacing w:line="288" w:lineRule="auto"/>
              <w:ind w:firstLine="420" w:firstLineChars="200"/>
              <w:textAlignment w:va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价格分采用低价优先法计算，即满足采购文件要求且最后报价最低的投标报价为评标基准价，其价格分为满分。其他供应商的价格分统一按照下列公式计算：</w:t>
            </w:r>
          </w:p>
          <w:p w14:paraId="6B820739">
            <w:pPr>
              <w:keepNext w:val="0"/>
              <w:keepLines w:val="0"/>
              <w:pageBreakBefore w:val="0"/>
              <w:widowControl w:val="0"/>
              <w:kinsoku/>
              <w:wordWrap/>
              <w:overflowPunct/>
              <w:topLinePunct w:val="0"/>
              <w:bidi w:val="0"/>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Cs/>
                <w:color w:val="000000"/>
                <w:sz w:val="21"/>
                <w:szCs w:val="21"/>
                <w:highlight w:val="none"/>
              </w:rPr>
              <w:t>投标报价得分=(评标基准价／投标报价)×</w:t>
            </w:r>
            <w:r>
              <w:rPr>
                <w:rFonts w:hint="eastAsia" w:ascii="宋体" w:hAnsi="宋体" w:eastAsia="宋体" w:cs="宋体"/>
                <w:bCs/>
                <w:color w:val="000000"/>
                <w:sz w:val="21"/>
                <w:szCs w:val="21"/>
                <w:highlight w:val="none"/>
                <w:lang w:val="en-US" w:eastAsia="zh-CN"/>
              </w:rPr>
              <w:t>3</w:t>
            </w:r>
            <w:r>
              <w:rPr>
                <w:rFonts w:hint="eastAsia" w:ascii="宋体" w:hAnsi="宋体" w:eastAsia="宋体" w:cs="宋体"/>
                <w:bCs/>
                <w:color w:val="000000"/>
                <w:sz w:val="21"/>
                <w:szCs w:val="21"/>
                <w:highlight w:val="none"/>
              </w:rPr>
              <w:t>0(四舍五入后保留小数点后两位)。</w:t>
            </w:r>
          </w:p>
        </w:tc>
      </w:tr>
      <w:tr w14:paraId="7C5B247A">
        <w:tblPrEx>
          <w:tblCellMar>
            <w:top w:w="0" w:type="dxa"/>
            <w:left w:w="0" w:type="dxa"/>
            <w:bottom w:w="0" w:type="dxa"/>
            <w:right w:w="0" w:type="dxa"/>
          </w:tblCellMar>
        </w:tblPrEx>
        <w:trPr>
          <w:trHeight w:val="567"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vAlign w:val="center"/>
          </w:tcPr>
          <w:p w14:paraId="66156FD7">
            <w:pPr>
              <w:autoSpaceDE w:val="0"/>
              <w:autoSpaceDN w:val="0"/>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1153" w:type="dxa"/>
            <w:tcBorders>
              <w:top w:val="single" w:color="auto" w:sz="4" w:space="0"/>
              <w:left w:val="single" w:color="auto" w:sz="4" w:space="0"/>
              <w:bottom w:val="single" w:color="auto" w:sz="4" w:space="0"/>
              <w:right w:val="single" w:color="auto" w:sz="4" w:space="0"/>
              <w:tl2br w:val="nil"/>
              <w:tr2bl w:val="nil"/>
            </w:tcBorders>
            <w:vAlign w:val="center"/>
          </w:tcPr>
          <w:p w14:paraId="14754FE5">
            <w:pPr>
              <w:autoSpaceDE w:val="0"/>
              <w:autoSpaceDN w:val="0"/>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投标人业绩</w:t>
            </w:r>
          </w:p>
        </w:tc>
        <w:tc>
          <w:tcPr>
            <w:tcW w:w="733" w:type="dxa"/>
            <w:tcBorders>
              <w:top w:val="single" w:color="auto" w:sz="4" w:space="0"/>
              <w:left w:val="single" w:color="auto" w:sz="4" w:space="0"/>
              <w:bottom w:val="single" w:color="auto" w:sz="4" w:space="0"/>
              <w:right w:val="single" w:color="auto" w:sz="4" w:space="0"/>
              <w:tl2br w:val="nil"/>
              <w:tr2bl w:val="nil"/>
            </w:tcBorders>
            <w:vAlign w:val="center"/>
          </w:tcPr>
          <w:p w14:paraId="1068F51E">
            <w:pPr>
              <w:autoSpaceDE w:val="0"/>
              <w:autoSpaceDN w:val="0"/>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分</w:t>
            </w:r>
          </w:p>
        </w:tc>
        <w:tc>
          <w:tcPr>
            <w:tcW w:w="6773" w:type="dxa"/>
            <w:tcBorders>
              <w:top w:val="single" w:color="auto" w:sz="4" w:space="0"/>
              <w:left w:val="single" w:color="auto" w:sz="4" w:space="0"/>
              <w:bottom w:val="single" w:color="auto" w:sz="4" w:space="0"/>
              <w:right w:val="single" w:color="auto" w:sz="4" w:space="0"/>
              <w:tl2br w:val="nil"/>
              <w:tr2bl w:val="nil"/>
            </w:tcBorders>
          </w:tcPr>
          <w:p w14:paraId="0B1D6B43">
            <w:pPr>
              <w:keepNext w:val="0"/>
              <w:keepLines w:val="0"/>
              <w:pageBreakBefore w:val="0"/>
              <w:widowControl w:val="0"/>
              <w:kinsoku/>
              <w:wordWrap/>
              <w:overflowPunct/>
              <w:topLinePunct w:val="0"/>
              <w:bidi w:val="0"/>
              <w:snapToGrid w:val="0"/>
              <w:spacing w:line="288" w:lineRule="auto"/>
              <w:ind w:firstLine="420" w:firstLineChars="200"/>
              <w:textAlignment w:va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投标人自20</w:t>
            </w:r>
            <w:r>
              <w:rPr>
                <w:rFonts w:hint="eastAsia" w:ascii="宋体" w:hAnsi="宋体" w:eastAsia="宋体" w:cs="宋体"/>
                <w:bCs/>
                <w:color w:val="000000"/>
                <w:sz w:val="21"/>
                <w:szCs w:val="21"/>
                <w:highlight w:val="none"/>
                <w:lang w:val="en-US" w:eastAsia="zh-CN"/>
              </w:rPr>
              <w:t>23</w:t>
            </w:r>
            <w:r>
              <w:rPr>
                <w:rFonts w:hint="eastAsia" w:ascii="宋体" w:hAnsi="宋体" w:eastAsia="宋体" w:cs="宋体"/>
                <w:bCs/>
                <w:color w:val="000000"/>
                <w:sz w:val="21"/>
                <w:szCs w:val="21"/>
                <w:highlight w:val="none"/>
              </w:rPr>
              <w:t>年1月1日以来(以合同签订时间为准)，承担过类似服务项目的，</w:t>
            </w:r>
            <w:r>
              <w:rPr>
                <w:rFonts w:hint="eastAsia" w:ascii="宋体" w:hAnsi="宋体" w:eastAsia="宋体" w:cs="宋体"/>
                <w:bCs/>
                <w:color w:val="000000"/>
                <w:sz w:val="21"/>
                <w:szCs w:val="21"/>
                <w:highlight w:val="none"/>
                <w:lang w:val="en-US" w:eastAsia="zh-CN"/>
              </w:rPr>
              <w:t>每提供一个得2分，</w:t>
            </w:r>
            <w:r>
              <w:rPr>
                <w:rFonts w:hint="eastAsia" w:ascii="宋体" w:hAnsi="宋体" w:eastAsia="宋体" w:cs="宋体"/>
                <w:bCs/>
                <w:color w:val="000000"/>
                <w:sz w:val="21"/>
                <w:szCs w:val="21"/>
                <w:highlight w:val="none"/>
              </w:rPr>
              <w:t>本项最多得</w:t>
            </w:r>
            <w:r>
              <w:rPr>
                <w:rFonts w:hint="eastAsia" w:ascii="宋体" w:hAnsi="宋体" w:eastAsia="宋体" w:cs="宋体"/>
                <w:bCs/>
                <w:color w:val="000000"/>
                <w:sz w:val="21"/>
                <w:szCs w:val="21"/>
                <w:highlight w:val="none"/>
                <w:lang w:val="en-US" w:eastAsia="zh-CN"/>
              </w:rPr>
              <w:t>4</w:t>
            </w:r>
            <w:r>
              <w:rPr>
                <w:rFonts w:hint="eastAsia" w:ascii="宋体" w:hAnsi="宋体" w:eastAsia="宋体" w:cs="宋体"/>
                <w:bCs/>
                <w:color w:val="000000"/>
                <w:sz w:val="21"/>
                <w:szCs w:val="21"/>
                <w:highlight w:val="none"/>
              </w:rPr>
              <w:t>分。</w:t>
            </w:r>
          </w:p>
          <w:p w14:paraId="29662674">
            <w:pPr>
              <w:keepNext w:val="0"/>
              <w:keepLines w:val="0"/>
              <w:pageBreakBefore w:val="0"/>
              <w:widowControl w:val="0"/>
              <w:kinsoku/>
              <w:wordWrap/>
              <w:overflowPunct/>
              <w:topLinePunct w:val="0"/>
              <w:bidi w:val="0"/>
              <w:snapToGrid w:val="0"/>
              <w:spacing w:line="288" w:lineRule="auto"/>
              <w:ind w:firstLine="420" w:firstLineChars="200"/>
              <w:textAlignment w:val="auto"/>
              <w:rPr>
                <w:rFonts w:hint="default" w:ascii="宋体" w:hAnsi="宋体" w:eastAsia="宋体" w:cs="宋体"/>
                <w:color w:val="auto"/>
                <w:sz w:val="21"/>
                <w:szCs w:val="21"/>
                <w:lang w:val="en-US"/>
              </w:rPr>
            </w:pPr>
            <w:r>
              <w:rPr>
                <w:rFonts w:hint="eastAsia" w:ascii="宋体" w:hAnsi="宋体" w:eastAsia="宋体" w:cs="宋体"/>
                <w:bCs/>
                <w:color w:val="000000"/>
                <w:sz w:val="21"/>
                <w:szCs w:val="21"/>
                <w:highlight w:val="none"/>
              </w:rPr>
              <w:t>注</w:t>
            </w:r>
            <w:r>
              <w:rPr>
                <w:rFonts w:hint="eastAsia" w:ascii="宋体" w:hAnsi="宋体" w:eastAsia="宋体" w:cs="宋体"/>
                <w:bCs/>
                <w:color w:val="000000"/>
                <w:sz w:val="21"/>
                <w:szCs w:val="21"/>
                <w:highlight w:val="none"/>
                <w:lang w:val="en-US" w:eastAsia="zh-CN"/>
              </w:rPr>
              <w:t>：(投标时提供合同扫描件并加盖投标人公章，同一业主单位业绩不重复计分，未提供不得分)。</w:t>
            </w:r>
          </w:p>
        </w:tc>
      </w:tr>
      <w:tr w14:paraId="21A480CE">
        <w:tblPrEx>
          <w:tblCellMar>
            <w:top w:w="0" w:type="dxa"/>
            <w:left w:w="0" w:type="dxa"/>
            <w:bottom w:w="0" w:type="dxa"/>
            <w:right w:w="0" w:type="dxa"/>
          </w:tblCellMar>
        </w:tblPrEx>
        <w:trPr>
          <w:trHeight w:val="1443"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vAlign w:val="center"/>
          </w:tcPr>
          <w:p w14:paraId="103EE325">
            <w:pPr>
              <w:autoSpaceDE w:val="0"/>
              <w:autoSpaceDN w:val="0"/>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1153" w:type="dxa"/>
            <w:tcBorders>
              <w:top w:val="single" w:color="auto" w:sz="4" w:space="0"/>
              <w:left w:val="single" w:color="auto" w:sz="4" w:space="0"/>
              <w:bottom w:val="single" w:color="auto" w:sz="4" w:space="0"/>
              <w:right w:val="single" w:color="auto" w:sz="4" w:space="0"/>
              <w:tl2br w:val="nil"/>
              <w:tr2bl w:val="nil"/>
            </w:tcBorders>
            <w:vAlign w:val="center"/>
          </w:tcPr>
          <w:p w14:paraId="1C2FD90B">
            <w:pPr>
              <w:autoSpaceDE w:val="0"/>
              <w:autoSpaceDN w:val="0"/>
              <w:adjustRightInd w:val="0"/>
              <w:snapToGrid w:val="0"/>
              <w:jc w:val="center"/>
              <w:rPr>
                <w:rFonts w:hint="eastAsia" w:ascii="宋体" w:hAnsi="宋体" w:cs="宋体" w:eastAsiaTheme="minorEastAsia"/>
                <w:color w:val="auto"/>
                <w:sz w:val="22"/>
                <w:szCs w:val="22"/>
                <w:lang w:eastAsia="zh-CN"/>
              </w:rPr>
            </w:pPr>
            <w:r>
              <w:rPr>
                <w:rFonts w:hint="eastAsia" w:cs="宋体" w:asciiTheme="minorEastAsia" w:hAnsiTheme="minorEastAsia"/>
                <w:sz w:val="20"/>
                <w:szCs w:val="20"/>
              </w:rPr>
              <w:t>项目</w:t>
            </w:r>
            <w:r>
              <w:rPr>
                <w:rFonts w:hint="eastAsia" w:cs="宋体" w:asciiTheme="minorEastAsia" w:hAnsiTheme="minorEastAsia"/>
                <w:sz w:val="20"/>
                <w:szCs w:val="20"/>
                <w:lang w:val="en-US" w:eastAsia="zh-CN"/>
              </w:rPr>
              <w:t>负责人</w:t>
            </w:r>
          </w:p>
        </w:tc>
        <w:tc>
          <w:tcPr>
            <w:tcW w:w="733" w:type="dxa"/>
            <w:tcBorders>
              <w:top w:val="single" w:color="auto" w:sz="4" w:space="0"/>
              <w:left w:val="single" w:color="auto" w:sz="4" w:space="0"/>
              <w:bottom w:val="single" w:color="auto" w:sz="4" w:space="0"/>
              <w:right w:val="single" w:color="auto" w:sz="4" w:space="0"/>
              <w:tl2br w:val="nil"/>
              <w:tr2bl w:val="nil"/>
            </w:tcBorders>
            <w:vAlign w:val="center"/>
          </w:tcPr>
          <w:p w14:paraId="2CAFBC9F">
            <w:pPr>
              <w:autoSpaceDE w:val="0"/>
              <w:autoSpaceDN w:val="0"/>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分</w:t>
            </w:r>
          </w:p>
        </w:tc>
        <w:tc>
          <w:tcPr>
            <w:tcW w:w="6773" w:type="dxa"/>
            <w:tcBorders>
              <w:top w:val="single" w:color="auto" w:sz="4" w:space="0"/>
              <w:left w:val="single" w:color="auto" w:sz="4" w:space="0"/>
              <w:bottom w:val="single" w:color="auto" w:sz="4" w:space="0"/>
              <w:right w:val="single" w:color="auto" w:sz="4" w:space="0"/>
              <w:tl2br w:val="nil"/>
              <w:tr2bl w:val="nil"/>
            </w:tcBorders>
            <w:vAlign w:val="center"/>
          </w:tcPr>
          <w:p w14:paraId="333335C0">
            <w:pPr>
              <w:keepNext w:val="0"/>
              <w:keepLines w:val="0"/>
              <w:pageBreakBefore w:val="0"/>
              <w:widowControl w:val="0"/>
              <w:numPr>
                <w:ilvl w:val="0"/>
                <w:numId w:val="0"/>
              </w:numPr>
              <w:kinsoku/>
              <w:wordWrap/>
              <w:overflowPunct/>
              <w:topLinePunct w:val="0"/>
              <w:bidi w:val="0"/>
              <w:snapToGrid w:val="0"/>
              <w:spacing w:line="288" w:lineRule="auto"/>
              <w:ind w:firstLine="420" w:firstLineChars="200"/>
              <w:jc w:val="left"/>
              <w:textAlignment w:val="auto"/>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投标人拟派驻项目负责人</w:t>
            </w:r>
            <w:r>
              <w:rPr>
                <w:rFonts w:hint="eastAsia" w:ascii="宋体" w:hAnsi="宋体" w:eastAsia="宋体" w:cs="宋体"/>
                <w:bCs/>
                <w:color w:val="000000"/>
                <w:sz w:val="21"/>
                <w:szCs w:val="21"/>
                <w:highlight w:val="none"/>
                <w:lang w:eastAsia="zh-CN"/>
              </w:rPr>
              <w:t>，</w:t>
            </w:r>
            <w:r>
              <w:rPr>
                <w:rFonts w:hint="eastAsia" w:ascii="宋体" w:hAnsi="宋体" w:eastAsia="宋体" w:cs="宋体"/>
                <w:bCs/>
                <w:color w:val="000000"/>
                <w:sz w:val="21"/>
                <w:szCs w:val="21"/>
                <w:highlight w:val="none"/>
              </w:rPr>
              <w:t>有高级及以上保安员证书得</w:t>
            </w:r>
            <w:r>
              <w:rPr>
                <w:rFonts w:hint="eastAsia" w:ascii="宋体" w:hAnsi="宋体" w:eastAsia="宋体" w:cs="宋体"/>
                <w:bCs/>
                <w:color w:val="000000"/>
                <w:sz w:val="21"/>
                <w:szCs w:val="21"/>
                <w:highlight w:val="none"/>
                <w:lang w:val="en-US" w:eastAsia="zh-CN"/>
              </w:rPr>
              <w:t>2</w:t>
            </w:r>
            <w:r>
              <w:rPr>
                <w:rFonts w:hint="eastAsia" w:ascii="宋体" w:hAnsi="宋体" w:eastAsia="宋体" w:cs="宋体"/>
                <w:bCs/>
                <w:color w:val="000000"/>
                <w:sz w:val="21"/>
                <w:szCs w:val="21"/>
                <w:highlight w:val="none"/>
              </w:rPr>
              <w:t>分</w:t>
            </w:r>
            <w:r>
              <w:rPr>
                <w:rFonts w:hint="eastAsia" w:ascii="宋体" w:hAnsi="宋体" w:eastAsia="宋体" w:cs="宋体"/>
                <w:bCs/>
                <w:color w:val="000000"/>
                <w:sz w:val="21"/>
                <w:szCs w:val="21"/>
                <w:highlight w:val="none"/>
                <w:lang w:eastAsia="zh-CN"/>
              </w:rPr>
              <w:t>，</w:t>
            </w:r>
            <w:r>
              <w:rPr>
                <w:rFonts w:hint="eastAsia" w:ascii="宋体" w:hAnsi="宋体" w:eastAsia="宋体" w:cs="宋体"/>
                <w:bCs/>
                <w:color w:val="000000"/>
                <w:sz w:val="21"/>
                <w:szCs w:val="21"/>
                <w:highlight w:val="none"/>
                <w:lang w:val="zh-CN" w:eastAsia="zh-CN"/>
              </w:rPr>
              <w:t>有中级保安员证书得</w:t>
            </w:r>
            <w:r>
              <w:rPr>
                <w:rFonts w:hint="eastAsia" w:ascii="宋体" w:hAnsi="宋体" w:eastAsia="宋体" w:cs="宋体"/>
                <w:bCs/>
                <w:color w:val="000000"/>
                <w:sz w:val="21"/>
                <w:szCs w:val="21"/>
                <w:highlight w:val="none"/>
                <w:lang w:val="en-US" w:eastAsia="zh-CN"/>
              </w:rPr>
              <w:t>1</w:t>
            </w:r>
            <w:r>
              <w:rPr>
                <w:rFonts w:hint="eastAsia" w:ascii="宋体" w:hAnsi="宋体" w:eastAsia="宋体" w:cs="宋体"/>
                <w:bCs/>
                <w:color w:val="000000"/>
                <w:sz w:val="21"/>
                <w:szCs w:val="21"/>
                <w:highlight w:val="none"/>
                <w:lang w:val="zh-CN" w:eastAsia="zh-CN"/>
              </w:rPr>
              <w:t>分，</w:t>
            </w:r>
            <w:r>
              <w:rPr>
                <w:rFonts w:hint="eastAsia" w:ascii="宋体" w:hAnsi="宋体" w:eastAsia="宋体" w:cs="宋体"/>
                <w:bCs/>
                <w:color w:val="000000"/>
                <w:sz w:val="21"/>
                <w:szCs w:val="21"/>
                <w:highlight w:val="none"/>
                <w:lang w:val="en-US" w:eastAsia="zh-CN"/>
              </w:rPr>
              <w:t>不提供不得分。</w:t>
            </w:r>
          </w:p>
          <w:p w14:paraId="564E5866">
            <w:pPr>
              <w:keepNext w:val="0"/>
              <w:keepLines w:val="0"/>
              <w:pageBreakBefore w:val="0"/>
              <w:widowControl w:val="0"/>
              <w:kinsoku/>
              <w:wordWrap/>
              <w:overflowPunct/>
              <w:topLinePunct w:val="0"/>
              <w:bidi w:val="0"/>
              <w:snapToGrid w:val="0"/>
              <w:spacing w:line="288" w:lineRule="auto"/>
              <w:ind w:firstLine="420" w:firstLineChars="20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000000"/>
                <w:sz w:val="21"/>
                <w:szCs w:val="21"/>
                <w:highlight w:val="none"/>
              </w:rPr>
              <w:t>(保安</w:t>
            </w:r>
            <w:r>
              <w:rPr>
                <w:rFonts w:hint="eastAsia" w:ascii="宋体" w:hAnsi="宋体" w:eastAsia="宋体" w:cs="宋体"/>
                <w:bCs/>
                <w:color w:val="auto"/>
                <w:sz w:val="21"/>
                <w:szCs w:val="21"/>
                <w:highlight w:val="none"/>
              </w:rPr>
              <w:t>员须提供地市级及以上公安机关或人力资源和社会保障厅颁发的保安员证书</w:t>
            </w:r>
            <w:r>
              <w:rPr>
                <w:rFonts w:hint="eastAsia" w:ascii="宋体" w:hAnsi="宋体" w:eastAsia="宋体" w:cs="宋体"/>
                <w:bCs/>
                <w:color w:val="auto"/>
                <w:sz w:val="21"/>
                <w:szCs w:val="21"/>
                <w:highlight w:val="none"/>
                <w:lang w:val="en-US" w:eastAsia="zh-CN"/>
              </w:rPr>
              <w:t>原件扫描件并加盖投标单位公章，不提供不得分。）</w:t>
            </w:r>
          </w:p>
          <w:p w14:paraId="52543D46">
            <w:pPr>
              <w:keepNext w:val="0"/>
              <w:keepLines w:val="0"/>
              <w:pageBreakBefore w:val="0"/>
              <w:widowControl w:val="0"/>
              <w:kinsoku/>
              <w:wordWrap/>
              <w:overflowPunct/>
              <w:topLinePunct w:val="0"/>
              <w:bidi w:val="0"/>
              <w:snapToGrid w:val="0"/>
              <w:spacing w:line="288" w:lineRule="auto"/>
              <w:ind w:firstLine="420" w:firstLineChars="200"/>
              <w:jc w:val="left"/>
              <w:textAlignment w:val="auto"/>
              <w:rPr>
                <w:rFonts w:hint="eastAsia" w:ascii="宋体" w:hAnsi="宋体" w:eastAsia="宋体" w:cs="宋体"/>
                <w:bCs/>
                <w:color w:val="000000"/>
                <w:sz w:val="21"/>
                <w:szCs w:val="21"/>
                <w:highlight w:val="none"/>
              </w:rPr>
            </w:pPr>
            <w:r>
              <w:rPr>
                <w:rFonts w:hint="eastAsia" w:ascii="宋体" w:hAnsi="宋体" w:eastAsia="宋体" w:cs="宋体"/>
                <w:bCs/>
                <w:color w:val="auto"/>
                <w:sz w:val="21"/>
                <w:szCs w:val="21"/>
                <w:highlight w:val="none"/>
                <w:lang w:val="en-US" w:eastAsia="zh-CN"/>
              </w:rPr>
              <w:t>注</w:t>
            </w:r>
            <w:r>
              <w:rPr>
                <w:rFonts w:hint="eastAsia" w:ascii="宋体" w:hAnsi="宋体" w:eastAsia="宋体" w:cs="宋体"/>
                <w:bCs/>
                <w:color w:val="000000"/>
                <w:sz w:val="21"/>
                <w:szCs w:val="21"/>
                <w:highlight w:val="none"/>
                <w:lang w:val="en-US" w:eastAsia="zh-CN"/>
              </w:rPr>
              <w:t>：以上人员投标时提供相关证书扫描件并加盖投标人公章</w:t>
            </w:r>
            <w:r>
              <w:rPr>
                <w:rFonts w:hint="eastAsia" w:ascii="宋体" w:hAnsi="宋体" w:eastAsia="宋体" w:cs="宋体"/>
                <w:bCs/>
                <w:color w:val="000000"/>
                <w:sz w:val="21"/>
                <w:szCs w:val="21"/>
                <w:highlight w:val="none"/>
                <w:lang w:eastAsia="zh-CN"/>
              </w:rPr>
              <w:t>和投标人为该人员缴纳的近三个月以来任意一个月的社保证明材料，</w:t>
            </w:r>
            <w:r>
              <w:rPr>
                <w:rFonts w:hint="eastAsia" w:ascii="宋体" w:hAnsi="宋体" w:eastAsia="宋体" w:cs="宋体"/>
                <w:bCs/>
                <w:color w:val="000000"/>
                <w:sz w:val="21"/>
                <w:szCs w:val="21"/>
                <w:highlight w:val="none"/>
                <w:lang w:val="en-US" w:eastAsia="zh-CN"/>
              </w:rPr>
              <w:t>不提供不得分。</w:t>
            </w:r>
          </w:p>
        </w:tc>
      </w:tr>
      <w:tr w14:paraId="66F665E8">
        <w:tblPrEx>
          <w:tblCellMar>
            <w:top w:w="0" w:type="dxa"/>
            <w:left w:w="0" w:type="dxa"/>
            <w:bottom w:w="0" w:type="dxa"/>
            <w:right w:w="0" w:type="dxa"/>
          </w:tblCellMar>
        </w:tblPrEx>
        <w:trPr>
          <w:trHeight w:val="1786"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vAlign w:val="center"/>
          </w:tcPr>
          <w:p w14:paraId="549FCB6D">
            <w:pPr>
              <w:autoSpaceDE w:val="0"/>
              <w:autoSpaceDN w:val="0"/>
              <w:adjustRightInd w:val="0"/>
              <w:snapToGrid w:val="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p>
        </w:tc>
        <w:tc>
          <w:tcPr>
            <w:tcW w:w="1153" w:type="dxa"/>
            <w:tcBorders>
              <w:top w:val="single" w:color="auto" w:sz="4" w:space="0"/>
              <w:left w:val="single" w:color="auto" w:sz="4" w:space="0"/>
              <w:bottom w:val="single" w:color="auto" w:sz="4" w:space="0"/>
              <w:right w:val="single" w:color="auto" w:sz="4" w:space="0"/>
              <w:tl2br w:val="nil"/>
              <w:tr2bl w:val="nil"/>
            </w:tcBorders>
            <w:vAlign w:val="center"/>
          </w:tcPr>
          <w:p w14:paraId="6711BC25">
            <w:pPr>
              <w:autoSpaceDE w:val="0"/>
              <w:autoSpaceDN w:val="0"/>
              <w:adjustRightInd w:val="0"/>
              <w:snapToGrid w:val="0"/>
              <w:jc w:val="center"/>
              <w:rPr>
                <w:rFonts w:hint="eastAsia" w:ascii="宋体" w:hAnsi="宋体" w:eastAsia="宋体" w:cs="宋体"/>
                <w:color w:val="auto"/>
                <w:sz w:val="22"/>
                <w:szCs w:val="22"/>
                <w:lang w:eastAsia="zh-CN"/>
              </w:rPr>
            </w:pPr>
            <w:r>
              <w:rPr>
                <w:rFonts w:hint="eastAsia" w:ascii="宋体" w:hAnsi="宋体" w:eastAsia="宋体" w:cs="宋体"/>
                <w:sz w:val="20"/>
                <w:szCs w:val="20"/>
              </w:rPr>
              <w:t>投标人资信及综合实力</w:t>
            </w:r>
          </w:p>
        </w:tc>
        <w:tc>
          <w:tcPr>
            <w:tcW w:w="733" w:type="dxa"/>
            <w:tcBorders>
              <w:top w:val="single" w:color="auto" w:sz="4" w:space="0"/>
              <w:left w:val="single" w:color="auto" w:sz="4" w:space="0"/>
              <w:bottom w:val="single" w:color="auto" w:sz="4" w:space="0"/>
              <w:right w:val="single" w:color="auto" w:sz="4" w:space="0"/>
              <w:tl2br w:val="nil"/>
              <w:tr2bl w:val="nil"/>
            </w:tcBorders>
            <w:vAlign w:val="center"/>
          </w:tcPr>
          <w:p w14:paraId="5B245F99">
            <w:pPr>
              <w:autoSpaceDE w:val="0"/>
              <w:autoSpaceDN w:val="0"/>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分</w:t>
            </w:r>
          </w:p>
        </w:tc>
        <w:tc>
          <w:tcPr>
            <w:tcW w:w="6773" w:type="dxa"/>
            <w:tcBorders>
              <w:top w:val="single" w:color="auto" w:sz="4" w:space="0"/>
              <w:left w:val="single" w:color="auto" w:sz="4" w:space="0"/>
              <w:bottom w:val="single" w:color="auto" w:sz="4" w:space="0"/>
              <w:right w:val="single" w:color="auto" w:sz="4" w:space="0"/>
              <w:tl2br w:val="nil"/>
              <w:tr2bl w:val="nil"/>
            </w:tcBorders>
            <w:vAlign w:val="center"/>
          </w:tcPr>
          <w:p w14:paraId="63C47DCE">
            <w:pPr>
              <w:keepNext w:val="0"/>
              <w:keepLines w:val="0"/>
              <w:pageBreakBefore w:val="0"/>
              <w:widowControl w:val="0"/>
              <w:kinsoku/>
              <w:wordWrap/>
              <w:overflowPunct/>
              <w:topLinePunct w:val="0"/>
              <w:bidi w:val="0"/>
              <w:snapToGrid w:val="0"/>
              <w:spacing w:line="288" w:lineRule="auto"/>
              <w:ind w:firstLine="420" w:firstLineChars="200"/>
              <w:jc w:val="left"/>
              <w:textAlignment w:va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投标人</w:t>
            </w:r>
            <w:r>
              <w:rPr>
                <w:rFonts w:hint="eastAsia" w:ascii="宋体" w:hAnsi="宋体" w:eastAsia="宋体" w:cs="宋体"/>
                <w:bCs/>
                <w:color w:val="000000"/>
                <w:sz w:val="21"/>
                <w:szCs w:val="21"/>
                <w:highlight w:val="none"/>
                <w:lang w:val="en-US" w:eastAsia="zh-CN"/>
              </w:rPr>
              <w:t>或项目负责人自2</w:t>
            </w:r>
            <w:r>
              <w:rPr>
                <w:rFonts w:hint="eastAsia" w:ascii="宋体" w:hAnsi="宋体" w:eastAsia="宋体" w:cs="宋体"/>
                <w:bCs/>
                <w:color w:val="000000"/>
                <w:sz w:val="21"/>
                <w:szCs w:val="21"/>
                <w:highlight w:val="none"/>
              </w:rPr>
              <w:t>02</w:t>
            </w:r>
            <w:r>
              <w:rPr>
                <w:rFonts w:hint="eastAsia" w:ascii="宋体" w:hAnsi="宋体" w:eastAsia="宋体" w:cs="宋体"/>
                <w:bCs/>
                <w:color w:val="000000"/>
                <w:sz w:val="21"/>
                <w:szCs w:val="21"/>
                <w:highlight w:val="none"/>
                <w:lang w:val="en-US" w:eastAsia="zh-CN"/>
              </w:rPr>
              <w:t>3</w:t>
            </w:r>
            <w:r>
              <w:rPr>
                <w:rFonts w:hint="eastAsia" w:ascii="宋体" w:hAnsi="宋体" w:eastAsia="宋体" w:cs="宋体"/>
                <w:bCs/>
                <w:color w:val="000000"/>
                <w:sz w:val="21"/>
                <w:szCs w:val="21"/>
                <w:highlight w:val="none"/>
              </w:rPr>
              <w:t>年</w:t>
            </w:r>
            <w:r>
              <w:rPr>
                <w:rFonts w:hint="eastAsia" w:ascii="宋体" w:hAnsi="宋体" w:eastAsia="宋体" w:cs="宋体"/>
                <w:bCs/>
                <w:color w:val="000000"/>
                <w:sz w:val="21"/>
                <w:szCs w:val="21"/>
                <w:highlight w:val="none"/>
                <w:lang w:val="en-US" w:eastAsia="zh-CN"/>
              </w:rPr>
              <w:t>1月1日</w:t>
            </w:r>
            <w:r>
              <w:rPr>
                <w:rFonts w:hint="eastAsia" w:ascii="宋体" w:hAnsi="宋体" w:eastAsia="宋体" w:cs="宋体"/>
                <w:bCs/>
                <w:color w:val="000000"/>
                <w:sz w:val="21"/>
                <w:szCs w:val="21"/>
                <w:highlight w:val="none"/>
              </w:rPr>
              <w:t>以来（以发证日期为准）获得</w:t>
            </w:r>
            <w:r>
              <w:rPr>
                <w:rFonts w:hint="eastAsia" w:ascii="宋体" w:hAnsi="宋体" w:eastAsia="宋体" w:cs="宋体"/>
                <w:bCs/>
                <w:color w:val="000000"/>
                <w:sz w:val="21"/>
                <w:szCs w:val="21"/>
                <w:highlight w:val="none"/>
                <w:lang w:val="en-US" w:eastAsia="zh-CN"/>
              </w:rPr>
              <w:t>省级及以上</w:t>
            </w:r>
            <w:r>
              <w:rPr>
                <w:rFonts w:hint="eastAsia" w:ascii="宋体" w:hAnsi="宋体" w:eastAsia="宋体" w:cs="宋体"/>
                <w:bCs/>
                <w:color w:val="000000"/>
                <w:sz w:val="21"/>
                <w:szCs w:val="21"/>
                <w:highlight w:val="none"/>
              </w:rPr>
              <w:t>行政部门奖项的得</w:t>
            </w:r>
            <w:r>
              <w:rPr>
                <w:rFonts w:hint="eastAsia" w:ascii="宋体" w:hAnsi="宋体" w:eastAsia="宋体" w:cs="宋体"/>
                <w:bCs/>
                <w:color w:val="000000"/>
                <w:sz w:val="21"/>
                <w:szCs w:val="21"/>
                <w:highlight w:val="none"/>
                <w:lang w:val="en-US" w:eastAsia="zh-CN"/>
              </w:rPr>
              <w:t>2</w:t>
            </w:r>
            <w:r>
              <w:rPr>
                <w:rFonts w:hint="eastAsia" w:ascii="宋体" w:hAnsi="宋体" w:eastAsia="宋体" w:cs="宋体"/>
                <w:bCs/>
                <w:color w:val="000000"/>
                <w:sz w:val="21"/>
                <w:szCs w:val="21"/>
                <w:highlight w:val="none"/>
              </w:rPr>
              <w:t>分</w:t>
            </w:r>
            <w:r>
              <w:rPr>
                <w:rFonts w:hint="eastAsia" w:ascii="宋体" w:hAnsi="宋体" w:eastAsia="宋体" w:cs="宋体"/>
                <w:bCs/>
                <w:color w:val="000000"/>
                <w:sz w:val="21"/>
                <w:szCs w:val="21"/>
                <w:highlight w:val="none"/>
                <w:lang w:eastAsia="zh-CN"/>
              </w:rPr>
              <w:t>，</w:t>
            </w:r>
            <w:r>
              <w:rPr>
                <w:rFonts w:hint="eastAsia" w:ascii="宋体" w:hAnsi="宋体" w:eastAsia="宋体" w:cs="宋体"/>
                <w:bCs/>
                <w:color w:val="000000"/>
                <w:sz w:val="21"/>
                <w:szCs w:val="21"/>
                <w:highlight w:val="none"/>
                <w:lang w:val="en-US" w:eastAsia="zh-CN"/>
              </w:rPr>
              <w:t>获得</w:t>
            </w:r>
            <w:r>
              <w:rPr>
                <w:rFonts w:hint="eastAsia" w:ascii="宋体" w:hAnsi="宋体" w:eastAsia="宋体" w:cs="宋体"/>
                <w:bCs/>
                <w:color w:val="000000"/>
                <w:sz w:val="21"/>
                <w:szCs w:val="21"/>
                <w:highlight w:val="none"/>
              </w:rPr>
              <w:t>市级</w:t>
            </w:r>
            <w:r>
              <w:rPr>
                <w:rFonts w:hint="eastAsia" w:ascii="宋体" w:hAnsi="宋体" w:eastAsia="宋体" w:cs="宋体"/>
                <w:bCs/>
                <w:color w:val="000000"/>
                <w:sz w:val="21"/>
                <w:szCs w:val="21"/>
                <w:highlight w:val="none"/>
                <w:lang w:val="en-US" w:eastAsia="zh-CN"/>
              </w:rPr>
              <w:t>或县级</w:t>
            </w:r>
            <w:r>
              <w:rPr>
                <w:rFonts w:hint="eastAsia" w:ascii="宋体" w:hAnsi="宋体" w:eastAsia="宋体" w:cs="宋体"/>
                <w:bCs/>
                <w:color w:val="000000"/>
                <w:sz w:val="21"/>
                <w:szCs w:val="21"/>
                <w:highlight w:val="none"/>
              </w:rPr>
              <w:t>行政部门奖项</w:t>
            </w:r>
            <w:r>
              <w:rPr>
                <w:rFonts w:hint="eastAsia" w:ascii="宋体" w:hAnsi="宋体" w:eastAsia="宋体" w:cs="宋体"/>
                <w:bCs/>
                <w:color w:val="000000"/>
                <w:sz w:val="21"/>
                <w:szCs w:val="21"/>
                <w:highlight w:val="none"/>
                <w:lang w:val="en-US" w:eastAsia="zh-CN"/>
              </w:rPr>
              <w:t>的得1分，以上得分以最高得分作为加分项并不重复加分</w:t>
            </w:r>
            <w:r>
              <w:rPr>
                <w:rFonts w:hint="eastAsia" w:ascii="宋体" w:hAnsi="宋体" w:eastAsia="宋体" w:cs="宋体"/>
                <w:bCs/>
                <w:color w:val="000000"/>
                <w:sz w:val="21"/>
                <w:szCs w:val="21"/>
                <w:highlight w:val="none"/>
                <w:lang w:eastAsia="zh-CN"/>
              </w:rPr>
              <w:t>，</w:t>
            </w:r>
            <w:r>
              <w:rPr>
                <w:rFonts w:hint="eastAsia" w:ascii="宋体" w:hAnsi="宋体" w:eastAsia="宋体" w:cs="宋体"/>
                <w:bCs/>
                <w:color w:val="000000"/>
                <w:sz w:val="21"/>
                <w:szCs w:val="21"/>
                <w:highlight w:val="none"/>
                <w:lang w:val="en-US" w:eastAsia="zh-CN"/>
              </w:rPr>
              <w:t>不提供不得分。</w:t>
            </w:r>
          </w:p>
          <w:p w14:paraId="56A04C08">
            <w:pPr>
              <w:keepNext w:val="0"/>
              <w:keepLines w:val="0"/>
              <w:pageBreakBefore w:val="0"/>
              <w:widowControl w:val="0"/>
              <w:kinsoku/>
              <w:wordWrap/>
              <w:overflowPunct/>
              <w:topLinePunct w:val="0"/>
              <w:bidi w:val="0"/>
              <w:snapToGrid w:val="0"/>
              <w:spacing w:line="288" w:lineRule="auto"/>
              <w:ind w:firstLine="420" w:firstLineChars="200"/>
              <w:jc w:val="left"/>
              <w:textAlignment w:va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(此项不累计计分，以提供的最高荣誉证书或奖状或获奖文件</w:t>
            </w:r>
            <w:r>
              <w:rPr>
                <w:rFonts w:hint="eastAsia" w:ascii="宋体" w:hAnsi="宋体" w:eastAsia="宋体" w:cs="宋体"/>
                <w:bCs/>
                <w:color w:val="000000"/>
                <w:sz w:val="21"/>
                <w:szCs w:val="21"/>
                <w:highlight w:val="none"/>
                <w:lang w:val="en-US" w:eastAsia="zh-CN"/>
              </w:rPr>
              <w:t>原件扫描件并加盖投标单位公章</w:t>
            </w:r>
            <w:r>
              <w:rPr>
                <w:rFonts w:hint="eastAsia" w:ascii="宋体" w:hAnsi="宋体" w:eastAsia="宋体" w:cs="宋体"/>
                <w:bCs/>
                <w:color w:val="000000"/>
                <w:sz w:val="21"/>
                <w:szCs w:val="21"/>
                <w:highlight w:val="none"/>
              </w:rPr>
              <w:t>为依据，否则不得分)</w:t>
            </w:r>
          </w:p>
        </w:tc>
      </w:tr>
      <w:tr w14:paraId="6B54E97D">
        <w:tblPrEx>
          <w:tblCellMar>
            <w:top w:w="0" w:type="dxa"/>
            <w:left w:w="0" w:type="dxa"/>
            <w:bottom w:w="0" w:type="dxa"/>
            <w:right w:w="0" w:type="dxa"/>
          </w:tblCellMar>
        </w:tblPrEx>
        <w:trPr>
          <w:trHeight w:val="932"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vAlign w:val="center"/>
          </w:tcPr>
          <w:p w14:paraId="2DFB8B9E">
            <w:pPr>
              <w:autoSpaceDE w:val="0"/>
              <w:autoSpaceDN w:val="0"/>
              <w:adjustRightInd w:val="0"/>
              <w:snapToGrid w:val="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w:t>
            </w:r>
          </w:p>
        </w:tc>
        <w:tc>
          <w:tcPr>
            <w:tcW w:w="1153" w:type="dxa"/>
            <w:tcBorders>
              <w:top w:val="single" w:color="auto" w:sz="4" w:space="0"/>
              <w:left w:val="single" w:color="auto" w:sz="4" w:space="0"/>
              <w:bottom w:val="single" w:color="auto" w:sz="4" w:space="0"/>
              <w:right w:val="single" w:color="auto" w:sz="4" w:space="0"/>
              <w:tl2br w:val="nil"/>
              <w:tr2bl w:val="nil"/>
            </w:tcBorders>
            <w:vAlign w:val="center"/>
          </w:tcPr>
          <w:p w14:paraId="119F7D2A">
            <w:pPr>
              <w:autoSpaceDE w:val="0"/>
              <w:autoSpaceDN w:val="0"/>
              <w:adjustRightInd w:val="0"/>
              <w:snapToGrid w:val="0"/>
              <w:jc w:val="center"/>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供应商服务承诺</w:t>
            </w:r>
          </w:p>
        </w:tc>
        <w:tc>
          <w:tcPr>
            <w:tcW w:w="733" w:type="dxa"/>
            <w:tcBorders>
              <w:top w:val="single" w:color="auto" w:sz="4" w:space="0"/>
              <w:left w:val="single" w:color="auto" w:sz="4" w:space="0"/>
              <w:bottom w:val="single" w:color="auto" w:sz="4" w:space="0"/>
              <w:right w:val="single" w:color="auto" w:sz="4" w:space="0"/>
              <w:tl2br w:val="nil"/>
              <w:tr2bl w:val="nil"/>
            </w:tcBorders>
            <w:vAlign w:val="center"/>
          </w:tcPr>
          <w:p w14:paraId="35577FDF">
            <w:pPr>
              <w:autoSpaceDE w:val="0"/>
              <w:autoSpaceDN w:val="0"/>
              <w:adjustRightInd w:val="0"/>
              <w:snapToGrid w:val="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2分</w:t>
            </w:r>
          </w:p>
        </w:tc>
        <w:tc>
          <w:tcPr>
            <w:tcW w:w="6773" w:type="dxa"/>
            <w:tcBorders>
              <w:top w:val="single" w:color="auto" w:sz="4" w:space="0"/>
              <w:left w:val="single" w:color="auto" w:sz="4" w:space="0"/>
              <w:bottom w:val="single" w:color="auto" w:sz="4" w:space="0"/>
              <w:right w:val="single" w:color="auto" w:sz="4" w:space="0"/>
              <w:tl2br w:val="nil"/>
              <w:tr2bl w:val="nil"/>
            </w:tcBorders>
            <w:vAlign w:val="center"/>
          </w:tcPr>
          <w:p w14:paraId="349E649B">
            <w:pPr>
              <w:keepNext w:val="0"/>
              <w:keepLines w:val="0"/>
              <w:pageBreakBefore w:val="0"/>
              <w:widowControl w:val="0"/>
              <w:kinsoku/>
              <w:wordWrap/>
              <w:overflowPunct/>
              <w:topLinePunct w:val="0"/>
              <w:bidi w:val="0"/>
              <w:snapToGrid w:val="0"/>
              <w:spacing w:line="288" w:lineRule="auto"/>
              <w:ind w:firstLine="420" w:firstLineChars="200"/>
              <w:jc w:val="left"/>
              <w:textAlignment w:val="auto"/>
              <w:rPr>
                <w:rFonts w:hint="eastAsia" w:ascii="宋体" w:hAnsi="宋体" w:eastAsia="宋体" w:cs="宋体"/>
                <w:bCs/>
                <w:color w:val="000000"/>
                <w:sz w:val="21"/>
                <w:szCs w:val="21"/>
                <w:highlight w:val="none"/>
              </w:rPr>
            </w:pPr>
            <w:r>
              <w:rPr>
                <w:rFonts w:hint="default" w:ascii="Times New Roman" w:hAnsi="Times New Roman" w:eastAsia="宋体" w:cs="Times New Roman"/>
                <w:color w:val="auto"/>
                <w:sz w:val="21"/>
                <w:szCs w:val="21"/>
                <w:highlight w:val="none"/>
                <w:lang w:val="en-US" w:eastAsia="zh-CN"/>
              </w:rPr>
              <w:t>根据投标人提供的服务</w:t>
            </w:r>
            <w:r>
              <w:rPr>
                <w:rFonts w:hint="eastAsia" w:ascii="Times New Roman" w:hAnsi="Times New Roman" w:eastAsia="宋体" w:cs="Times New Roman"/>
                <w:color w:val="auto"/>
                <w:sz w:val="21"/>
                <w:szCs w:val="21"/>
                <w:highlight w:val="none"/>
                <w:lang w:val="en-US" w:eastAsia="zh-CN"/>
              </w:rPr>
              <w:t>承诺</w:t>
            </w:r>
            <w:r>
              <w:rPr>
                <w:rFonts w:hint="default" w:ascii="Times New Roman" w:hAnsi="Times New Roman" w:eastAsia="宋体" w:cs="Times New Roman"/>
                <w:color w:val="auto"/>
                <w:sz w:val="21"/>
                <w:szCs w:val="21"/>
                <w:highlight w:val="none"/>
                <w:lang w:val="en-US" w:eastAsia="zh-CN"/>
              </w:rPr>
              <w:t>内容包括但不限于呼叫电话和响应时间、现场服务支持能力等</w:t>
            </w:r>
            <w:r>
              <w:rPr>
                <w:rFonts w:hint="eastAsia" w:ascii="Times New Roman" w:hAnsi="Times New Roman" w:eastAsia="宋体" w:cs="Times New Roman"/>
                <w:color w:val="auto"/>
                <w:sz w:val="21"/>
                <w:szCs w:val="21"/>
                <w:highlight w:val="none"/>
                <w:lang w:val="en-US" w:eastAsia="zh-CN"/>
              </w:rPr>
              <w:t>完全响应承诺。（格式自拟，</w:t>
            </w:r>
            <w:r>
              <w:rPr>
                <w:rFonts w:hint="eastAsia" w:ascii="宋体" w:hAnsi="宋体" w:eastAsia="宋体" w:cs="宋体"/>
                <w:color w:val="auto"/>
                <w:sz w:val="20"/>
                <w:szCs w:val="20"/>
                <w:highlight w:val="none"/>
                <w:lang w:val="en-US" w:eastAsia="zh-CN"/>
              </w:rPr>
              <w:t>不提供不得分</w:t>
            </w:r>
            <w:r>
              <w:rPr>
                <w:rFonts w:hint="eastAsia" w:ascii="Times New Roman" w:hAnsi="Times New Roman" w:eastAsia="宋体" w:cs="Times New Roman"/>
                <w:color w:val="auto"/>
                <w:sz w:val="21"/>
                <w:szCs w:val="21"/>
                <w:highlight w:val="none"/>
                <w:lang w:val="en-US" w:eastAsia="zh-CN"/>
              </w:rPr>
              <w:t>）</w:t>
            </w:r>
          </w:p>
        </w:tc>
      </w:tr>
      <w:tr w14:paraId="33577AC4">
        <w:tblPrEx>
          <w:tblCellMar>
            <w:top w:w="0" w:type="dxa"/>
            <w:left w:w="0" w:type="dxa"/>
            <w:bottom w:w="0" w:type="dxa"/>
            <w:right w:w="0" w:type="dxa"/>
          </w:tblCellMar>
        </w:tblPrEx>
        <w:trPr>
          <w:trHeight w:val="1285" w:hRule="atLeast"/>
          <w:jc w:val="center"/>
        </w:trPr>
        <w:tc>
          <w:tcPr>
            <w:tcW w:w="538" w:type="dxa"/>
            <w:vMerge w:val="restart"/>
            <w:tcBorders>
              <w:top w:val="single" w:color="auto" w:sz="4" w:space="0"/>
              <w:left w:val="single" w:color="auto" w:sz="4" w:space="0"/>
              <w:bottom w:val="single" w:color="auto" w:sz="4" w:space="0"/>
              <w:right w:val="single" w:color="auto" w:sz="4" w:space="0"/>
              <w:tl2br w:val="nil"/>
              <w:tr2bl w:val="nil"/>
            </w:tcBorders>
            <w:vAlign w:val="center"/>
          </w:tcPr>
          <w:p w14:paraId="4B607A8A">
            <w:pPr>
              <w:autoSpaceDE w:val="0"/>
              <w:autoSpaceDN w:val="0"/>
              <w:adjustRightInd w:val="0"/>
              <w:snapToGrid w:val="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p>
        </w:tc>
        <w:tc>
          <w:tcPr>
            <w:tcW w:w="1153" w:type="dxa"/>
            <w:vMerge w:val="restart"/>
            <w:tcBorders>
              <w:top w:val="single" w:color="auto" w:sz="4" w:space="0"/>
              <w:left w:val="single" w:color="auto" w:sz="4" w:space="0"/>
              <w:bottom w:val="single" w:color="auto" w:sz="4" w:space="0"/>
              <w:right w:val="single" w:color="auto" w:sz="4" w:space="0"/>
              <w:tl2br w:val="nil"/>
              <w:tr2bl w:val="nil"/>
            </w:tcBorders>
            <w:vAlign w:val="center"/>
          </w:tcPr>
          <w:p w14:paraId="62FE3267">
            <w:pPr>
              <w:autoSpaceDE w:val="0"/>
              <w:autoSpaceDN w:val="0"/>
              <w:adjustRightInd w:val="0"/>
              <w:snapToGrid w:val="0"/>
              <w:jc w:val="center"/>
              <w:rPr>
                <w:rFonts w:hint="eastAsia" w:ascii="宋体" w:hAnsi="宋体" w:eastAsia="宋体" w:cs="宋体"/>
                <w:sz w:val="20"/>
                <w:szCs w:val="20"/>
              </w:rPr>
            </w:pPr>
            <w:r>
              <w:rPr>
                <w:rFonts w:hint="eastAsia" w:ascii="宋体" w:hAnsi="宋体" w:cs="宋体"/>
                <w:color w:val="000000"/>
                <w:sz w:val="22"/>
                <w:szCs w:val="22"/>
              </w:rPr>
              <w:t>项目实施方案</w:t>
            </w:r>
          </w:p>
        </w:tc>
        <w:tc>
          <w:tcPr>
            <w:tcW w:w="733" w:type="dxa"/>
            <w:vMerge w:val="restart"/>
            <w:tcBorders>
              <w:top w:val="single" w:color="auto" w:sz="4" w:space="0"/>
              <w:left w:val="single" w:color="auto" w:sz="4" w:space="0"/>
              <w:bottom w:val="single" w:color="auto" w:sz="4" w:space="0"/>
              <w:right w:val="single" w:color="auto" w:sz="4" w:space="0"/>
              <w:tl2br w:val="nil"/>
              <w:tr2bl w:val="nil"/>
            </w:tcBorders>
            <w:vAlign w:val="center"/>
          </w:tcPr>
          <w:p w14:paraId="7BDD2ADB">
            <w:pPr>
              <w:autoSpaceDE w:val="0"/>
              <w:autoSpaceDN w:val="0"/>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60</w:t>
            </w:r>
            <w:r>
              <w:rPr>
                <w:rFonts w:hint="eastAsia" w:ascii="宋体" w:hAnsi="宋体" w:eastAsia="宋体" w:cs="宋体"/>
                <w:color w:val="auto"/>
                <w:sz w:val="21"/>
                <w:szCs w:val="21"/>
              </w:rPr>
              <w:t>分</w:t>
            </w:r>
          </w:p>
        </w:tc>
        <w:tc>
          <w:tcPr>
            <w:tcW w:w="6773" w:type="dxa"/>
            <w:tcBorders>
              <w:top w:val="single" w:color="auto" w:sz="4" w:space="0"/>
              <w:left w:val="single" w:color="auto" w:sz="4" w:space="0"/>
              <w:bottom w:val="single" w:color="auto" w:sz="4" w:space="0"/>
              <w:right w:val="single" w:color="auto" w:sz="4" w:space="0"/>
              <w:tl2br w:val="nil"/>
              <w:tr2bl w:val="nil"/>
            </w:tcBorders>
            <w:vAlign w:val="center"/>
          </w:tcPr>
          <w:p w14:paraId="07F5725C">
            <w:pPr>
              <w:keepNext w:val="0"/>
              <w:keepLines w:val="0"/>
              <w:pageBreakBefore w:val="0"/>
              <w:widowControl w:val="0"/>
              <w:kinsoku/>
              <w:wordWrap/>
              <w:overflowPunct/>
              <w:topLinePunct w:val="0"/>
              <w:bidi w:val="0"/>
              <w:snapToGrid w:val="0"/>
              <w:spacing w:line="288" w:lineRule="auto"/>
              <w:ind w:firstLine="420" w:firstLineChars="20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1、针对本项目的基本思路、服务理念（</w:t>
            </w:r>
            <w:r>
              <w:rPr>
                <w:rFonts w:hint="eastAsia" w:ascii="宋体" w:hAnsi="宋体" w:eastAsia="宋体" w:cs="宋体"/>
                <w:b w:val="0"/>
                <w:bCs/>
                <w:color w:val="auto"/>
                <w:sz w:val="21"/>
                <w:szCs w:val="21"/>
                <w:highlight w:val="none"/>
                <w:lang w:val="en-US" w:eastAsia="zh-CN"/>
              </w:rPr>
              <w:t>12</w:t>
            </w:r>
            <w:r>
              <w:rPr>
                <w:rFonts w:hint="eastAsia" w:ascii="宋体" w:hAnsi="宋体" w:eastAsia="宋体" w:cs="宋体"/>
                <w:b w:val="0"/>
                <w:bCs/>
                <w:color w:val="auto"/>
                <w:sz w:val="21"/>
                <w:szCs w:val="21"/>
                <w:highlight w:val="none"/>
              </w:rPr>
              <w:t>分）</w:t>
            </w:r>
          </w:p>
          <w:p w14:paraId="7C5CC0E0">
            <w:pPr>
              <w:widowControl/>
              <w:ind w:firstLine="420" w:firstLineChars="20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 w:val="0"/>
                <w:bCs/>
                <w:color w:val="auto"/>
                <w:sz w:val="21"/>
                <w:szCs w:val="21"/>
                <w:highlight w:val="none"/>
              </w:rPr>
              <w:t>评标委员会根据投标人对本项目的基本思路、服务理念的合理性、完整性、针对性及可操作性等方面进行评审。</w:t>
            </w:r>
            <w:r>
              <w:rPr>
                <w:rFonts w:hint="eastAsia" w:ascii="宋体" w:hAnsi="宋体" w:eastAsia="宋体" w:cs="宋体"/>
                <w:b w:val="0"/>
                <w:bCs/>
                <w:color w:val="auto"/>
                <w:sz w:val="21"/>
                <w:szCs w:val="21"/>
                <w:highlight w:val="none"/>
                <w:lang w:eastAsia="zh-CN"/>
              </w:rPr>
              <w:t>方案内容</w:t>
            </w:r>
            <w:r>
              <w:rPr>
                <w:rFonts w:hint="eastAsia" w:ascii="宋体" w:hAnsi="宋体" w:eastAsia="宋体" w:cs="宋体"/>
                <w:b w:val="0"/>
                <w:bCs/>
                <w:color w:val="000000"/>
                <w:sz w:val="20"/>
                <w:szCs w:val="20"/>
              </w:rPr>
              <w:t>优于项目需求，得</w:t>
            </w:r>
            <w:r>
              <w:rPr>
                <w:rFonts w:hint="eastAsia" w:ascii="宋体" w:hAnsi="宋体" w:eastAsia="宋体" w:cs="宋体"/>
                <w:b w:val="0"/>
                <w:bCs/>
                <w:color w:val="000000"/>
                <w:sz w:val="20"/>
                <w:szCs w:val="20"/>
                <w:lang w:val="en-US" w:eastAsia="zh-CN"/>
              </w:rPr>
              <w:t>12</w:t>
            </w:r>
            <w:r>
              <w:rPr>
                <w:rFonts w:hint="eastAsia" w:ascii="宋体" w:hAnsi="宋体" w:eastAsia="宋体" w:cs="宋体"/>
                <w:b w:val="0"/>
                <w:bCs/>
                <w:color w:val="000000"/>
                <w:sz w:val="20"/>
                <w:szCs w:val="20"/>
              </w:rPr>
              <w:t>分；满足项目需求，得</w:t>
            </w:r>
            <w:r>
              <w:rPr>
                <w:rFonts w:hint="eastAsia" w:ascii="宋体" w:hAnsi="宋体" w:eastAsia="宋体" w:cs="宋体"/>
                <w:b w:val="0"/>
                <w:bCs/>
                <w:color w:val="000000"/>
                <w:sz w:val="20"/>
                <w:szCs w:val="20"/>
                <w:lang w:val="en-US" w:eastAsia="zh-CN"/>
              </w:rPr>
              <w:t>10</w:t>
            </w:r>
            <w:r>
              <w:rPr>
                <w:rFonts w:hint="eastAsia" w:ascii="宋体" w:hAnsi="宋体" w:eastAsia="宋体" w:cs="宋体"/>
                <w:b w:val="0"/>
                <w:bCs/>
                <w:color w:val="000000"/>
                <w:sz w:val="20"/>
                <w:szCs w:val="20"/>
              </w:rPr>
              <w:t>分</w:t>
            </w:r>
            <w:r>
              <w:rPr>
                <w:rFonts w:hint="eastAsia" w:ascii="宋体" w:hAnsi="宋体" w:eastAsia="宋体" w:cs="宋体"/>
                <w:b w:val="0"/>
                <w:bCs/>
                <w:color w:val="auto"/>
                <w:sz w:val="21"/>
                <w:szCs w:val="21"/>
                <w:highlight w:val="none"/>
              </w:rPr>
              <w:t>；</w:t>
            </w:r>
            <w:r>
              <w:rPr>
                <w:rFonts w:hint="eastAsia" w:ascii="宋体" w:hAnsi="宋体" w:eastAsia="宋体" w:cs="宋体"/>
                <w:color w:val="auto"/>
                <w:sz w:val="20"/>
                <w:szCs w:val="20"/>
                <w:highlight w:val="none"/>
                <w:lang w:val="en-US" w:eastAsia="zh-CN"/>
              </w:rPr>
              <w:t>不满足或不提供得0分。</w:t>
            </w:r>
          </w:p>
        </w:tc>
      </w:tr>
      <w:tr w14:paraId="6E40DDCB">
        <w:tblPrEx>
          <w:tblCellMar>
            <w:top w:w="0" w:type="dxa"/>
            <w:left w:w="0" w:type="dxa"/>
            <w:bottom w:w="0" w:type="dxa"/>
            <w:right w:w="0" w:type="dxa"/>
          </w:tblCellMar>
        </w:tblPrEx>
        <w:trPr>
          <w:trHeight w:val="1712" w:hRule="atLeast"/>
          <w:jc w:val="center"/>
        </w:trPr>
        <w:tc>
          <w:tcPr>
            <w:tcW w:w="538"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6EE5F2BF">
            <w:pPr>
              <w:autoSpaceDE w:val="0"/>
              <w:autoSpaceDN w:val="0"/>
              <w:adjustRightInd w:val="0"/>
              <w:snapToGrid w:val="0"/>
              <w:jc w:val="center"/>
              <w:rPr>
                <w:rFonts w:hint="eastAsia" w:ascii="宋体" w:hAnsi="宋体" w:eastAsia="宋体" w:cs="宋体"/>
                <w:color w:val="auto"/>
                <w:sz w:val="22"/>
                <w:szCs w:val="22"/>
                <w:lang w:val="en-US" w:eastAsia="zh-CN"/>
              </w:rPr>
            </w:pPr>
          </w:p>
        </w:tc>
        <w:tc>
          <w:tcPr>
            <w:tcW w:w="1153"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17405024">
            <w:pPr>
              <w:autoSpaceDE w:val="0"/>
              <w:autoSpaceDN w:val="0"/>
              <w:adjustRightInd w:val="0"/>
              <w:snapToGrid w:val="0"/>
              <w:jc w:val="center"/>
              <w:rPr>
                <w:rFonts w:hint="eastAsia" w:ascii="宋体" w:hAnsi="宋体" w:eastAsia="宋体" w:cs="宋体"/>
                <w:color w:val="auto"/>
                <w:sz w:val="22"/>
                <w:szCs w:val="22"/>
              </w:rPr>
            </w:pPr>
          </w:p>
        </w:tc>
        <w:tc>
          <w:tcPr>
            <w:tcW w:w="733"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00E2C7AD">
            <w:pPr>
              <w:autoSpaceDE w:val="0"/>
              <w:autoSpaceDN w:val="0"/>
              <w:adjustRightInd w:val="0"/>
              <w:snapToGrid w:val="0"/>
              <w:jc w:val="center"/>
              <w:rPr>
                <w:rFonts w:hint="eastAsia" w:ascii="宋体" w:hAnsi="宋体" w:eastAsia="宋体" w:cs="宋体"/>
                <w:color w:val="auto"/>
                <w:sz w:val="22"/>
                <w:szCs w:val="22"/>
                <w:lang w:val="en-US" w:eastAsia="zh-CN"/>
              </w:rPr>
            </w:pPr>
          </w:p>
        </w:tc>
        <w:tc>
          <w:tcPr>
            <w:tcW w:w="6773" w:type="dxa"/>
            <w:tcBorders>
              <w:top w:val="single" w:color="auto" w:sz="4" w:space="0"/>
              <w:left w:val="single" w:color="auto" w:sz="4" w:space="0"/>
              <w:bottom w:val="single" w:color="auto" w:sz="4" w:space="0"/>
              <w:right w:val="single" w:color="auto" w:sz="4" w:space="0"/>
              <w:tl2br w:val="nil"/>
              <w:tr2bl w:val="nil"/>
            </w:tcBorders>
            <w:vAlign w:val="center"/>
          </w:tcPr>
          <w:p w14:paraId="4C61BFA9">
            <w:pPr>
              <w:keepNext w:val="0"/>
              <w:keepLines w:val="0"/>
              <w:pageBreakBefore w:val="0"/>
              <w:widowControl w:val="0"/>
              <w:kinsoku/>
              <w:wordWrap/>
              <w:overflowPunct/>
              <w:topLinePunct w:val="0"/>
              <w:bidi w:val="0"/>
              <w:snapToGrid w:val="0"/>
              <w:spacing w:line="288" w:lineRule="auto"/>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2、工作目标、日常管理标准、管理重点难点和措施等方案（</w:t>
            </w:r>
            <w:r>
              <w:rPr>
                <w:rFonts w:hint="eastAsia" w:ascii="宋体" w:hAnsi="宋体" w:eastAsia="宋体" w:cs="宋体"/>
                <w:b w:val="0"/>
                <w:bCs/>
                <w:color w:val="auto"/>
                <w:sz w:val="21"/>
                <w:szCs w:val="21"/>
                <w:highlight w:val="none"/>
                <w:lang w:val="en-US" w:eastAsia="zh-CN"/>
              </w:rPr>
              <w:t>12</w:t>
            </w:r>
            <w:r>
              <w:rPr>
                <w:rFonts w:hint="eastAsia" w:ascii="宋体" w:hAnsi="宋体" w:eastAsia="宋体" w:cs="宋体"/>
                <w:bCs/>
                <w:color w:val="auto"/>
                <w:sz w:val="21"/>
                <w:szCs w:val="21"/>
                <w:highlight w:val="none"/>
              </w:rPr>
              <w:t>分）</w:t>
            </w:r>
          </w:p>
          <w:p w14:paraId="0AC9E2E9">
            <w:pPr>
              <w:keepNext w:val="0"/>
              <w:keepLines w:val="0"/>
              <w:pageBreakBefore w:val="0"/>
              <w:widowControl w:val="0"/>
              <w:kinsoku/>
              <w:wordWrap/>
              <w:overflowPunct/>
              <w:topLinePunct w:val="0"/>
              <w:bidi w:val="0"/>
              <w:snapToGrid w:val="0"/>
              <w:spacing w:line="288" w:lineRule="auto"/>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评标委员会根据投标人对本项目的工作目标、日常管理标准、管理重点难点和措施等方案的合理性、完整性、针对性及可操作性等方面进行评审。</w:t>
            </w:r>
            <w:r>
              <w:rPr>
                <w:rFonts w:hint="eastAsia" w:ascii="宋体" w:hAnsi="宋体" w:eastAsia="宋体" w:cs="宋体"/>
                <w:b w:val="0"/>
                <w:bCs/>
                <w:color w:val="auto"/>
                <w:sz w:val="21"/>
                <w:szCs w:val="21"/>
                <w:highlight w:val="none"/>
                <w:lang w:eastAsia="zh-CN"/>
              </w:rPr>
              <w:t>方案内容</w:t>
            </w:r>
            <w:r>
              <w:rPr>
                <w:rFonts w:hint="eastAsia" w:ascii="宋体" w:hAnsi="宋体" w:eastAsia="宋体" w:cs="宋体"/>
                <w:b w:val="0"/>
                <w:bCs/>
                <w:color w:val="000000"/>
                <w:sz w:val="20"/>
                <w:szCs w:val="20"/>
              </w:rPr>
              <w:t>优于项目需求，得</w:t>
            </w:r>
            <w:r>
              <w:rPr>
                <w:rFonts w:hint="eastAsia" w:ascii="宋体" w:hAnsi="宋体" w:eastAsia="宋体" w:cs="宋体"/>
                <w:b w:val="0"/>
                <w:bCs/>
                <w:color w:val="auto"/>
                <w:sz w:val="21"/>
                <w:szCs w:val="21"/>
                <w:highlight w:val="none"/>
                <w:lang w:val="en-US" w:eastAsia="zh-CN"/>
              </w:rPr>
              <w:t>12</w:t>
            </w:r>
            <w:r>
              <w:rPr>
                <w:rFonts w:hint="eastAsia" w:ascii="宋体" w:hAnsi="宋体" w:eastAsia="宋体" w:cs="宋体"/>
                <w:b w:val="0"/>
                <w:bCs/>
                <w:color w:val="000000"/>
                <w:sz w:val="20"/>
                <w:szCs w:val="20"/>
              </w:rPr>
              <w:t>分；满足项目需求，得</w:t>
            </w:r>
            <w:r>
              <w:rPr>
                <w:rFonts w:hint="eastAsia" w:ascii="宋体" w:hAnsi="宋体" w:eastAsia="宋体" w:cs="宋体"/>
                <w:b w:val="0"/>
                <w:bCs/>
                <w:color w:val="000000"/>
                <w:sz w:val="20"/>
                <w:szCs w:val="20"/>
                <w:lang w:val="en-US" w:eastAsia="zh-CN"/>
              </w:rPr>
              <w:t>10</w:t>
            </w:r>
            <w:r>
              <w:rPr>
                <w:rFonts w:hint="eastAsia" w:ascii="宋体" w:hAnsi="宋体" w:eastAsia="宋体" w:cs="宋体"/>
                <w:b w:val="0"/>
                <w:bCs/>
                <w:color w:val="000000"/>
                <w:sz w:val="20"/>
                <w:szCs w:val="20"/>
              </w:rPr>
              <w:t>分</w:t>
            </w:r>
            <w:r>
              <w:rPr>
                <w:rFonts w:hint="eastAsia" w:ascii="宋体" w:hAnsi="宋体" w:eastAsia="宋体" w:cs="宋体"/>
                <w:b w:val="0"/>
                <w:bCs/>
                <w:color w:val="auto"/>
                <w:sz w:val="21"/>
                <w:szCs w:val="21"/>
                <w:highlight w:val="none"/>
              </w:rPr>
              <w:t>；</w:t>
            </w:r>
            <w:r>
              <w:rPr>
                <w:rFonts w:hint="eastAsia" w:ascii="宋体" w:hAnsi="宋体" w:eastAsia="宋体" w:cs="宋体"/>
                <w:color w:val="auto"/>
                <w:sz w:val="20"/>
                <w:szCs w:val="20"/>
                <w:highlight w:val="none"/>
                <w:lang w:val="en-US" w:eastAsia="zh-CN"/>
              </w:rPr>
              <w:t>不满足或不提供得0分。</w:t>
            </w:r>
          </w:p>
        </w:tc>
      </w:tr>
      <w:tr w14:paraId="641DA7B8">
        <w:tblPrEx>
          <w:tblCellMar>
            <w:top w:w="0" w:type="dxa"/>
            <w:left w:w="0" w:type="dxa"/>
            <w:bottom w:w="0" w:type="dxa"/>
            <w:right w:w="0" w:type="dxa"/>
          </w:tblCellMar>
        </w:tblPrEx>
        <w:trPr>
          <w:trHeight w:val="567" w:hRule="atLeast"/>
          <w:jc w:val="center"/>
        </w:trPr>
        <w:tc>
          <w:tcPr>
            <w:tcW w:w="538"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0263EA4C">
            <w:pPr>
              <w:autoSpaceDE w:val="0"/>
              <w:autoSpaceDN w:val="0"/>
              <w:adjustRightInd w:val="0"/>
              <w:snapToGrid w:val="0"/>
              <w:jc w:val="center"/>
              <w:rPr>
                <w:rFonts w:hint="eastAsia" w:ascii="宋体" w:hAnsi="宋体" w:eastAsia="宋体" w:cs="宋体"/>
                <w:color w:val="auto"/>
                <w:sz w:val="22"/>
                <w:szCs w:val="22"/>
                <w:lang w:val="en-US" w:eastAsia="zh-CN"/>
              </w:rPr>
            </w:pPr>
          </w:p>
        </w:tc>
        <w:tc>
          <w:tcPr>
            <w:tcW w:w="1153"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360D3ED8">
            <w:pPr>
              <w:autoSpaceDE w:val="0"/>
              <w:autoSpaceDN w:val="0"/>
              <w:adjustRightInd w:val="0"/>
              <w:snapToGrid w:val="0"/>
              <w:jc w:val="center"/>
              <w:rPr>
                <w:rFonts w:hint="eastAsia" w:ascii="宋体" w:hAnsi="宋体" w:eastAsia="宋体" w:cs="宋体"/>
                <w:color w:val="auto"/>
                <w:sz w:val="22"/>
                <w:szCs w:val="22"/>
              </w:rPr>
            </w:pPr>
          </w:p>
        </w:tc>
        <w:tc>
          <w:tcPr>
            <w:tcW w:w="733"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58593839">
            <w:pPr>
              <w:autoSpaceDE w:val="0"/>
              <w:autoSpaceDN w:val="0"/>
              <w:adjustRightInd w:val="0"/>
              <w:snapToGrid w:val="0"/>
              <w:jc w:val="center"/>
              <w:rPr>
                <w:rFonts w:hint="eastAsia" w:ascii="宋体" w:hAnsi="宋体" w:eastAsia="宋体" w:cs="宋体"/>
                <w:color w:val="auto"/>
                <w:sz w:val="22"/>
                <w:szCs w:val="22"/>
                <w:lang w:val="en-US" w:eastAsia="zh-CN"/>
              </w:rPr>
            </w:pPr>
          </w:p>
        </w:tc>
        <w:tc>
          <w:tcPr>
            <w:tcW w:w="6773" w:type="dxa"/>
            <w:tcBorders>
              <w:top w:val="single" w:color="auto" w:sz="4" w:space="0"/>
              <w:left w:val="single" w:color="auto" w:sz="4" w:space="0"/>
              <w:bottom w:val="single" w:color="auto" w:sz="4" w:space="0"/>
              <w:right w:val="single" w:color="auto" w:sz="4" w:space="0"/>
              <w:tl2br w:val="nil"/>
              <w:tr2bl w:val="nil"/>
            </w:tcBorders>
            <w:vAlign w:val="top"/>
          </w:tcPr>
          <w:p w14:paraId="687B9DC7">
            <w:pPr>
              <w:keepNext w:val="0"/>
              <w:keepLines w:val="0"/>
              <w:pageBreakBefore w:val="0"/>
              <w:widowControl w:val="0"/>
              <w:kinsoku/>
              <w:wordWrap/>
              <w:overflowPunct/>
              <w:topLinePunct w:val="0"/>
              <w:bidi w:val="0"/>
              <w:snapToGrid w:val="0"/>
              <w:spacing w:line="288" w:lineRule="auto"/>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3、组织机构、人员配备（</w:t>
            </w:r>
            <w:r>
              <w:rPr>
                <w:rFonts w:hint="eastAsia" w:ascii="宋体" w:hAnsi="宋体" w:eastAsia="宋体" w:cs="宋体"/>
                <w:b w:val="0"/>
                <w:bCs/>
                <w:color w:val="auto"/>
                <w:sz w:val="21"/>
                <w:szCs w:val="21"/>
                <w:highlight w:val="none"/>
                <w:lang w:val="en-US" w:eastAsia="zh-CN"/>
              </w:rPr>
              <w:t>12</w:t>
            </w:r>
            <w:r>
              <w:rPr>
                <w:rFonts w:hint="eastAsia" w:ascii="宋体" w:hAnsi="宋体" w:eastAsia="宋体" w:cs="宋体"/>
                <w:bCs/>
                <w:color w:val="auto"/>
                <w:sz w:val="21"/>
                <w:szCs w:val="21"/>
                <w:highlight w:val="none"/>
              </w:rPr>
              <w:t>分）</w:t>
            </w:r>
          </w:p>
          <w:p w14:paraId="7193CAAE">
            <w:pPr>
              <w:keepNext w:val="0"/>
              <w:keepLines w:val="0"/>
              <w:pageBreakBefore w:val="0"/>
              <w:widowControl w:val="0"/>
              <w:kinsoku/>
              <w:wordWrap/>
              <w:overflowPunct/>
              <w:topLinePunct w:val="0"/>
              <w:bidi w:val="0"/>
              <w:snapToGrid w:val="0"/>
              <w:spacing w:line="288" w:lineRule="auto"/>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评标委员会根据投标人针对本项目组织机构设置、人员配备的科学性、合理性、完整性及可操作性等进行评审。</w:t>
            </w:r>
            <w:r>
              <w:rPr>
                <w:rFonts w:hint="eastAsia" w:ascii="宋体" w:hAnsi="宋体" w:eastAsia="宋体" w:cs="宋体"/>
                <w:b w:val="0"/>
                <w:bCs/>
                <w:color w:val="auto"/>
                <w:sz w:val="21"/>
                <w:szCs w:val="21"/>
                <w:highlight w:val="none"/>
                <w:lang w:eastAsia="zh-CN"/>
              </w:rPr>
              <w:t>方案内容</w:t>
            </w:r>
            <w:r>
              <w:rPr>
                <w:rFonts w:hint="eastAsia" w:ascii="宋体" w:hAnsi="宋体" w:eastAsia="宋体" w:cs="宋体"/>
                <w:b w:val="0"/>
                <w:bCs/>
                <w:color w:val="000000"/>
                <w:sz w:val="20"/>
                <w:szCs w:val="20"/>
              </w:rPr>
              <w:t>优于项目需求，得</w:t>
            </w:r>
            <w:r>
              <w:rPr>
                <w:rFonts w:hint="eastAsia" w:ascii="宋体" w:hAnsi="宋体" w:eastAsia="宋体" w:cs="宋体"/>
                <w:b w:val="0"/>
                <w:bCs/>
                <w:color w:val="auto"/>
                <w:sz w:val="21"/>
                <w:szCs w:val="21"/>
                <w:highlight w:val="none"/>
                <w:lang w:val="en-US" w:eastAsia="zh-CN"/>
              </w:rPr>
              <w:t>12</w:t>
            </w:r>
            <w:r>
              <w:rPr>
                <w:rFonts w:hint="eastAsia" w:ascii="宋体" w:hAnsi="宋体" w:eastAsia="宋体" w:cs="宋体"/>
                <w:b w:val="0"/>
                <w:bCs/>
                <w:color w:val="000000"/>
                <w:sz w:val="20"/>
                <w:szCs w:val="20"/>
              </w:rPr>
              <w:t>分；满足项目需求，得</w:t>
            </w:r>
            <w:r>
              <w:rPr>
                <w:rFonts w:hint="eastAsia" w:ascii="宋体" w:hAnsi="宋体" w:eastAsia="宋体" w:cs="宋体"/>
                <w:b w:val="0"/>
                <w:bCs/>
                <w:color w:val="000000"/>
                <w:sz w:val="20"/>
                <w:szCs w:val="20"/>
                <w:lang w:val="en-US" w:eastAsia="zh-CN"/>
              </w:rPr>
              <w:t>10</w:t>
            </w:r>
            <w:r>
              <w:rPr>
                <w:rFonts w:hint="eastAsia" w:ascii="宋体" w:hAnsi="宋体" w:eastAsia="宋体" w:cs="宋体"/>
                <w:b w:val="0"/>
                <w:bCs/>
                <w:color w:val="000000"/>
                <w:sz w:val="20"/>
                <w:szCs w:val="20"/>
              </w:rPr>
              <w:t>分</w:t>
            </w:r>
            <w:r>
              <w:rPr>
                <w:rFonts w:hint="eastAsia" w:ascii="宋体" w:hAnsi="宋体" w:eastAsia="宋体" w:cs="宋体"/>
                <w:b w:val="0"/>
                <w:bCs/>
                <w:color w:val="auto"/>
                <w:sz w:val="21"/>
                <w:szCs w:val="21"/>
                <w:highlight w:val="none"/>
              </w:rPr>
              <w:t>；</w:t>
            </w:r>
            <w:r>
              <w:rPr>
                <w:rFonts w:hint="eastAsia" w:ascii="宋体" w:hAnsi="宋体" w:eastAsia="宋体" w:cs="宋体"/>
                <w:color w:val="auto"/>
                <w:sz w:val="20"/>
                <w:szCs w:val="20"/>
                <w:highlight w:val="none"/>
                <w:lang w:val="en-US" w:eastAsia="zh-CN"/>
              </w:rPr>
              <w:t>不满足或不提供得0分。</w:t>
            </w:r>
          </w:p>
        </w:tc>
      </w:tr>
      <w:tr w14:paraId="61D91922">
        <w:tblPrEx>
          <w:tblCellMar>
            <w:top w:w="0" w:type="dxa"/>
            <w:left w:w="0" w:type="dxa"/>
            <w:bottom w:w="0" w:type="dxa"/>
            <w:right w:w="0" w:type="dxa"/>
          </w:tblCellMar>
        </w:tblPrEx>
        <w:trPr>
          <w:trHeight w:val="567" w:hRule="atLeast"/>
          <w:jc w:val="center"/>
        </w:trPr>
        <w:tc>
          <w:tcPr>
            <w:tcW w:w="538"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4221EB23">
            <w:pPr>
              <w:autoSpaceDE w:val="0"/>
              <w:autoSpaceDN w:val="0"/>
              <w:adjustRightInd w:val="0"/>
              <w:snapToGrid w:val="0"/>
              <w:jc w:val="center"/>
              <w:rPr>
                <w:rFonts w:hint="eastAsia" w:ascii="宋体" w:hAnsi="宋体" w:eastAsia="宋体" w:cs="宋体"/>
                <w:color w:val="auto"/>
                <w:sz w:val="22"/>
                <w:szCs w:val="22"/>
                <w:lang w:val="en-US" w:eastAsia="zh-CN"/>
              </w:rPr>
            </w:pPr>
          </w:p>
        </w:tc>
        <w:tc>
          <w:tcPr>
            <w:tcW w:w="1153"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4B31B7C9">
            <w:pPr>
              <w:autoSpaceDE w:val="0"/>
              <w:autoSpaceDN w:val="0"/>
              <w:adjustRightInd w:val="0"/>
              <w:snapToGrid w:val="0"/>
              <w:jc w:val="center"/>
              <w:rPr>
                <w:rFonts w:hint="eastAsia" w:ascii="宋体" w:hAnsi="宋体" w:eastAsia="宋体" w:cs="宋体"/>
                <w:color w:val="auto"/>
                <w:sz w:val="22"/>
                <w:szCs w:val="22"/>
              </w:rPr>
            </w:pPr>
          </w:p>
        </w:tc>
        <w:tc>
          <w:tcPr>
            <w:tcW w:w="733"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37887162">
            <w:pPr>
              <w:autoSpaceDE w:val="0"/>
              <w:autoSpaceDN w:val="0"/>
              <w:adjustRightInd w:val="0"/>
              <w:snapToGrid w:val="0"/>
              <w:jc w:val="center"/>
              <w:rPr>
                <w:rFonts w:hint="eastAsia" w:ascii="宋体" w:hAnsi="宋体" w:eastAsia="宋体" w:cs="宋体"/>
                <w:color w:val="auto"/>
                <w:sz w:val="22"/>
                <w:szCs w:val="22"/>
                <w:lang w:val="en-US" w:eastAsia="zh-CN"/>
              </w:rPr>
            </w:pPr>
          </w:p>
        </w:tc>
        <w:tc>
          <w:tcPr>
            <w:tcW w:w="6773" w:type="dxa"/>
            <w:tcBorders>
              <w:top w:val="single" w:color="auto" w:sz="4" w:space="0"/>
              <w:left w:val="single" w:color="auto" w:sz="4" w:space="0"/>
              <w:bottom w:val="single" w:color="auto" w:sz="4" w:space="0"/>
              <w:right w:val="single" w:color="auto" w:sz="4" w:space="0"/>
              <w:tl2br w:val="nil"/>
              <w:tr2bl w:val="nil"/>
            </w:tcBorders>
            <w:vAlign w:val="top"/>
          </w:tcPr>
          <w:p w14:paraId="0C5419A5">
            <w:pPr>
              <w:keepNext w:val="0"/>
              <w:keepLines w:val="0"/>
              <w:pageBreakBefore w:val="0"/>
              <w:widowControl w:val="0"/>
              <w:kinsoku/>
              <w:wordWrap/>
              <w:overflowPunct/>
              <w:topLinePunct w:val="0"/>
              <w:bidi w:val="0"/>
              <w:snapToGrid w:val="0"/>
              <w:spacing w:line="288" w:lineRule="auto"/>
              <w:ind w:firstLine="420" w:firstLineChars="20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4、应急预案(</w:t>
            </w:r>
            <w:r>
              <w:rPr>
                <w:rFonts w:hint="eastAsia" w:ascii="宋体" w:hAnsi="宋体" w:eastAsia="宋体" w:cs="宋体"/>
                <w:b w:val="0"/>
                <w:bCs/>
                <w:color w:val="auto"/>
                <w:sz w:val="21"/>
                <w:szCs w:val="21"/>
                <w:highlight w:val="none"/>
                <w:lang w:val="en-US" w:eastAsia="zh-CN"/>
              </w:rPr>
              <w:t>12</w:t>
            </w:r>
            <w:r>
              <w:rPr>
                <w:rFonts w:hint="eastAsia" w:ascii="宋体" w:hAnsi="宋体" w:eastAsia="宋体" w:cs="宋体"/>
                <w:bCs/>
                <w:color w:val="auto"/>
                <w:sz w:val="21"/>
                <w:szCs w:val="21"/>
                <w:highlight w:val="none"/>
                <w:lang w:val="en-US" w:eastAsia="zh-CN"/>
              </w:rPr>
              <w:t>分)</w:t>
            </w:r>
          </w:p>
          <w:p w14:paraId="4DAC15A0">
            <w:pPr>
              <w:keepNext w:val="0"/>
              <w:keepLines w:val="0"/>
              <w:pageBreakBefore w:val="0"/>
              <w:widowControl w:val="0"/>
              <w:kinsoku/>
              <w:wordWrap/>
              <w:overflowPunct/>
              <w:topLinePunct w:val="0"/>
              <w:bidi w:val="0"/>
              <w:snapToGrid w:val="0"/>
              <w:spacing w:line="288" w:lineRule="auto"/>
              <w:ind w:firstLine="420" w:firstLineChars="200"/>
              <w:jc w:val="left"/>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Cs/>
                <w:color w:val="auto"/>
                <w:sz w:val="21"/>
                <w:szCs w:val="21"/>
                <w:highlight w:val="none"/>
                <w:lang w:val="en-US" w:eastAsia="zh-CN"/>
              </w:rPr>
              <w:t>针对本项目提供完整详细面对恶劣天气方案、突发事件应急预案、节假日预案、重大活动及检查评比保障方案、文明城市、卫生城市等大检查突击性工作预案，要求可操作性强，保证及时性</w:t>
            </w:r>
            <w:r>
              <w:rPr>
                <w:rFonts w:hint="eastAsia" w:ascii="宋体" w:hAnsi="宋体" w:eastAsia="宋体" w:cs="宋体"/>
                <w:bCs/>
                <w:color w:val="auto"/>
                <w:sz w:val="21"/>
                <w:szCs w:val="21"/>
                <w:highlight w:val="none"/>
              </w:rPr>
              <w:t>等方面进行评审。</w:t>
            </w:r>
            <w:r>
              <w:rPr>
                <w:rFonts w:hint="eastAsia" w:ascii="宋体" w:hAnsi="宋体" w:eastAsia="宋体" w:cs="宋体"/>
                <w:bCs/>
                <w:color w:val="auto"/>
                <w:sz w:val="21"/>
                <w:szCs w:val="21"/>
                <w:highlight w:val="none"/>
                <w:lang w:eastAsia="zh-CN"/>
              </w:rPr>
              <w:t>，</w:t>
            </w:r>
            <w:r>
              <w:rPr>
                <w:rFonts w:hint="eastAsia" w:ascii="宋体" w:hAnsi="宋体" w:eastAsia="宋体" w:cs="宋体"/>
                <w:b w:val="0"/>
                <w:bCs/>
                <w:color w:val="auto"/>
                <w:sz w:val="21"/>
                <w:szCs w:val="21"/>
                <w:highlight w:val="none"/>
                <w:lang w:eastAsia="zh-CN"/>
              </w:rPr>
              <w:t>方案内容</w:t>
            </w:r>
            <w:r>
              <w:rPr>
                <w:rFonts w:hint="eastAsia" w:ascii="宋体" w:hAnsi="宋体" w:eastAsia="宋体" w:cs="宋体"/>
                <w:b w:val="0"/>
                <w:bCs/>
                <w:color w:val="000000"/>
                <w:sz w:val="20"/>
                <w:szCs w:val="20"/>
              </w:rPr>
              <w:t>优于项目需求，得</w:t>
            </w:r>
            <w:r>
              <w:rPr>
                <w:rFonts w:hint="eastAsia" w:ascii="宋体" w:hAnsi="宋体" w:eastAsia="宋体" w:cs="宋体"/>
                <w:b w:val="0"/>
                <w:bCs/>
                <w:color w:val="auto"/>
                <w:sz w:val="21"/>
                <w:szCs w:val="21"/>
                <w:highlight w:val="none"/>
                <w:lang w:val="en-US" w:eastAsia="zh-CN"/>
              </w:rPr>
              <w:t>12</w:t>
            </w:r>
            <w:r>
              <w:rPr>
                <w:rFonts w:hint="eastAsia" w:ascii="宋体" w:hAnsi="宋体" w:eastAsia="宋体" w:cs="宋体"/>
                <w:b w:val="0"/>
                <w:bCs/>
                <w:color w:val="000000"/>
                <w:sz w:val="20"/>
                <w:szCs w:val="20"/>
              </w:rPr>
              <w:t>分；满足项目需求，得</w:t>
            </w:r>
            <w:r>
              <w:rPr>
                <w:rFonts w:hint="eastAsia" w:ascii="宋体" w:hAnsi="宋体" w:eastAsia="宋体" w:cs="宋体"/>
                <w:b w:val="0"/>
                <w:bCs/>
                <w:color w:val="000000"/>
                <w:sz w:val="20"/>
                <w:szCs w:val="20"/>
                <w:lang w:val="en-US" w:eastAsia="zh-CN"/>
              </w:rPr>
              <w:t>10</w:t>
            </w:r>
            <w:r>
              <w:rPr>
                <w:rFonts w:hint="eastAsia" w:ascii="宋体" w:hAnsi="宋体" w:eastAsia="宋体" w:cs="宋体"/>
                <w:b w:val="0"/>
                <w:bCs/>
                <w:color w:val="000000"/>
                <w:sz w:val="20"/>
                <w:szCs w:val="20"/>
              </w:rPr>
              <w:t>分</w:t>
            </w:r>
            <w:r>
              <w:rPr>
                <w:rFonts w:hint="eastAsia" w:ascii="宋体" w:hAnsi="宋体" w:eastAsia="宋体" w:cs="宋体"/>
                <w:color w:val="auto"/>
                <w:sz w:val="20"/>
                <w:szCs w:val="20"/>
                <w:highlight w:val="none"/>
                <w:lang w:val="en-US" w:eastAsia="zh-CN"/>
              </w:rPr>
              <w:t>不满足或不提供得0分。</w:t>
            </w:r>
          </w:p>
        </w:tc>
      </w:tr>
      <w:tr w14:paraId="7815DD8A">
        <w:tblPrEx>
          <w:tblCellMar>
            <w:top w:w="0" w:type="dxa"/>
            <w:left w:w="0" w:type="dxa"/>
            <w:bottom w:w="0" w:type="dxa"/>
            <w:right w:w="0" w:type="dxa"/>
          </w:tblCellMar>
        </w:tblPrEx>
        <w:trPr>
          <w:trHeight w:val="1334" w:hRule="atLeast"/>
          <w:jc w:val="center"/>
        </w:trPr>
        <w:tc>
          <w:tcPr>
            <w:tcW w:w="538"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69D4C4D1">
            <w:pPr>
              <w:autoSpaceDE w:val="0"/>
              <w:autoSpaceDN w:val="0"/>
              <w:adjustRightInd w:val="0"/>
              <w:snapToGrid w:val="0"/>
              <w:jc w:val="center"/>
              <w:rPr>
                <w:rFonts w:hint="eastAsia" w:ascii="宋体" w:hAnsi="宋体" w:eastAsia="宋体" w:cs="宋体"/>
                <w:color w:val="auto"/>
                <w:sz w:val="22"/>
                <w:szCs w:val="22"/>
                <w:lang w:val="en-US" w:eastAsia="zh-CN"/>
              </w:rPr>
            </w:pPr>
          </w:p>
        </w:tc>
        <w:tc>
          <w:tcPr>
            <w:tcW w:w="1153"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1FE70765">
            <w:pPr>
              <w:autoSpaceDE w:val="0"/>
              <w:autoSpaceDN w:val="0"/>
              <w:adjustRightInd w:val="0"/>
              <w:snapToGrid w:val="0"/>
              <w:jc w:val="center"/>
              <w:rPr>
                <w:rFonts w:hint="eastAsia" w:ascii="宋体" w:hAnsi="宋体" w:eastAsia="宋体" w:cs="宋体"/>
                <w:color w:val="auto"/>
                <w:sz w:val="22"/>
                <w:szCs w:val="22"/>
              </w:rPr>
            </w:pPr>
          </w:p>
        </w:tc>
        <w:tc>
          <w:tcPr>
            <w:tcW w:w="733"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668464F4">
            <w:pPr>
              <w:autoSpaceDE w:val="0"/>
              <w:autoSpaceDN w:val="0"/>
              <w:adjustRightInd w:val="0"/>
              <w:snapToGrid w:val="0"/>
              <w:jc w:val="center"/>
              <w:rPr>
                <w:rFonts w:hint="eastAsia" w:ascii="宋体" w:hAnsi="宋体" w:eastAsia="宋体" w:cs="宋体"/>
                <w:color w:val="auto"/>
                <w:sz w:val="22"/>
                <w:szCs w:val="22"/>
                <w:lang w:val="en-US" w:eastAsia="zh-CN"/>
              </w:rPr>
            </w:pPr>
          </w:p>
        </w:tc>
        <w:tc>
          <w:tcPr>
            <w:tcW w:w="6773" w:type="dxa"/>
            <w:tcBorders>
              <w:top w:val="single" w:color="auto" w:sz="4" w:space="0"/>
              <w:left w:val="single" w:color="auto" w:sz="4" w:space="0"/>
              <w:bottom w:val="single" w:color="auto" w:sz="4" w:space="0"/>
              <w:right w:val="single" w:color="auto" w:sz="4" w:space="0"/>
              <w:tl2br w:val="nil"/>
              <w:tr2bl w:val="nil"/>
            </w:tcBorders>
            <w:vAlign w:val="top"/>
          </w:tcPr>
          <w:p w14:paraId="7631EB1C">
            <w:pPr>
              <w:keepNext w:val="0"/>
              <w:keepLines w:val="0"/>
              <w:pageBreakBefore w:val="0"/>
              <w:widowControl w:val="0"/>
              <w:kinsoku/>
              <w:wordWrap/>
              <w:overflowPunct/>
              <w:topLinePunct w:val="0"/>
              <w:bidi w:val="0"/>
              <w:snapToGrid w:val="0"/>
              <w:spacing w:line="288" w:lineRule="auto"/>
              <w:ind w:firstLine="420" w:firstLineChars="200"/>
              <w:jc w:val="left"/>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5、设备设施配备情况（1</w:t>
            </w: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kern w:val="2"/>
                <w:sz w:val="21"/>
                <w:szCs w:val="21"/>
                <w:highlight w:val="none"/>
                <w:lang w:val="en-US" w:eastAsia="zh-CN" w:bidi="ar-SA"/>
              </w:rPr>
              <w:t>分）</w:t>
            </w:r>
          </w:p>
          <w:p w14:paraId="4488D2C9">
            <w:pPr>
              <w:keepNext w:val="0"/>
              <w:keepLines w:val="0"/>
              <w:pageBreakBefore w:val="0"/>
              <w:widowControl w:val="0"/>
              <w:kinsoku/>
              <w:wordWrap/>
              <w:overflowPunct/>
              <w:topLinePunct w:val="0"/>
              <w:bidi w:val="0"/>
              <w:snapToGrid w:val="0"/>
              <w:spacing w:line="288" w:lineRule="auto"/>
              <w:ind w:firstLine="420" w:firstLineChars="200"/>
              <w:jc w:val="left"/>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评标委员会根据投标人经营、服务、调度等机构设置齐全情况以及所配备的设备设施及车辆情况进行</w:t>
            </w:r>
            <w:r>
              <w:rPr>
                <w:rFonts w:hint="eastAsia" w:ascii="宋体" w:hAnsi="宋体" w:eastAsia="宋体" w:cs="宋体"/>
                <w:bCs/>
                <w:color w:val="auto"/>
                <w:sz w:val="21"/>
                <w:szCs w:val="21"/>
                <w:highlight w:val="none"/>
              </w:rPr>
              <w:t>评审</w:t>
            </w:r>
            <w:r>
              <w:rPr>
                <w:rFonts w:hint="eastAsia" w:ascii="宋体" w:hAnsi="宋体" w:eastAsia="宋体" w:cs="宋体"/>
                <w:b w:val="0"/>
                <w:bCs/>
                <w:color w:val="auto"/>
                <w:kern w:val="2"/>
                <w:sz w:val="21"/>
                <w:szCs w:val="21"/>
                <w:highlight w:val="none"/>
                <w:lang w:val="en-US" w:eastAsia="zh-CN" w:bidi="ar-SA"/>
              </w:rPr>
              <w:t>。</w:t>
            </w:r>
            <w:r>
              <w:rPr>
                <w:rFonts w:hint="eastAsia" w:ascii="宋体" w:hAnsi="宋体" w:eastAsia="宋体" w:cs="宋体"/>
                <w:b w:val="0"/>
                <w:bCs/>
                <w:color w:val="auto"/>
                <w:sz w:val="21"/>
                <w:szCs w:val="21"/>
                <w:highlight w:val="none"/>
                <w:lang w:eastAsia="zh-CN"/>
              </w:rPr>
              <w:t>方案内容</w:t>
            </w:r>
            <w:r>
              <w:rPr>
                <w:rFonts w:hint="eastAsia" w:ascii="宋体" w:hAnsi="宋体" w:eastAsia="宋体" w:cs="宋体"/>
                <w:b w:val="0"/>
                <w:bCs/>
                <w:color w:val="000000"/>
                <w:sz w:val="20"/>
                <w:szCs w:val="20"/>
              </w:rPr>
              <w:t>优于项目需求，得</w:t>
            </w:r>
            <w:r>
              <w:rPr>
                <w:rFonts w:hint="eastAsia" w:ascii="宋体" w:hAnsi="宋体" w:eastAsia="宋体" w:cs="宋体"/>
                <w:b w:val="0"/>
                <w:bCs/>
                <w:color w:val="auto"/>
                <w:sz w:val="21"/>
                <w:szCs w:val="21"/>
                <w:highlight w:val="none"/>
                <w:lang w:val="en-US" w:eastAsia="zh-CN"/>
              </w:rPr>
              <w:t>12</w:t>
            </w:r>
            <w:r>
              <w:rPr>
                <w:rFonts w:hint="eastAsia" w:ascii="宋体" w:hAnsi="宋体" w:eastAsia="宋体" w:cs="宋体"/>
                <w:b w:val="0"/>
                <w:bCs/>
                <w:color w:val="000000"/>
                <w:sz w:val="20"/>
                <w:szCs w:val="20"/>
              </w:rPr>
              <w:t>分；满足项目需求，得</w:t>
            </w:r>
            <w:r>
              <w:rPr>
                <w:rFonts w:hint="eastAsia" w:ascii="宋体" w:hAnsi="宋体" w:eastAsia="宋体" w:cs="宋体"/>
                <w:b w:val="0"/>
                <w:bCs/>
                <w:color w:val="000000"/>
                <w:sz w:val="20"/>
                <w:szCs w:val="20"/>
                <w:lang w:val="en-US" w:eastAsia="zh-CN"/>
              </w:rPr>
              <w:t>10</w:t>
            </w:r>
            <w:r>
              <w:rPr>
                <w:rFonts w:hint="eastAsia" w:ascii="宋体" w:hAnsi="宋体" w:eastAsia="宋体" w:cs="宋体"/>
                <w:b w:val="0"/>
                <w:bCs/>
                <w:color w:val="000000"/>
                <w:sz w:val="20"/>
                <w:szCs w:val="20"/>
              </w:rPr>
              <w:t>分</w:t>
            </w:r>
            <w:r>
              <w:rPr>
                <w:rFonts w:hint="eastAsia" w:ascii="宋体" w:hAnsi="宋体" w:eastAsia="宋体" w:cs="宋体"/>
                <w:b w:val="0"/>
                <w:bCs/>
                <w:color w:val="auto"/>
                <w:sz w:val="21"/>
                <w:szCs w:val="21"/>
                <w:highlight w:val="none"/>
              </w:rPr>
              <w:t>；</w:t>
            </w:r>
            <w:r>
              <w:rPr>
                <w:rFonts w:hint="eastAsia" w:ascii="宋体" w:hAnsi="宋体" w:eastAsia="宋体" w:cs="宋体"/>
                <w:color w:val="auto"/>
                <w:sz w:val="20"/>
                <w:szCs w:val="20"/>
                <w:highlight w:val="none"/>
                <w:lang w:val="en-US" w:eastAsia="zh-CN"/>
              </w:rPr>
              <w:t>不满足或不提供得0分。</w:t>
            </w:r>
          </w:p>
        </w:tc>
      </w:tr>
    </w:tbl>
    <w:p w14:paraId="15D541B7">
      <w:pPr>
        <w:pStyle w:val="14"/>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22F0F21">
      <w:pPr>
        <w:pStyle w:val="14"/>
        <w:keepNext/>
        <w:spacing w:beforeAutospacing="0" w:afterAutospacing="0"/>
        <w:jc w:val="center"/>
        <w:rPr>
          <w:rFonts w:hint="eastAsia" w:ascii="宋体" w:hAnsi="宋体" w:eastAsia="宋体" w:cs="宋体"/>
          <w:highlight w:val="none"/>
        </w:rPr>
      </w:pPr>
      <w:r>
        <w:rPr>
          <w:rFonts w:hint="eastAsia" w:ascii="宋体" w:hAnsi="宋体" w:eastAsia="宋体" w:cs="宋体"/>
          <w:highlight w:val="none"/>
        </w:rPr>
        <w:t> </w:t>
      </w:r>
    </w:p>
    <w:p w14:paraId="358217CF">
      <w:pPr>
        <w:pStyle w:val="14"/>
        <w:keepNext/>
        <w:spacing w:beforeAutospacing="0" w:afterAutospacing="0"/>
        <w:jc w:val="center"/>
        <w:rPr>
          <w:rFonts w:hint="eastAsia" w:ascii="宋体" w:hAnsi="宋体" w:eastAsia="宋体" w:cs="宋体"/>
          <w:highlight w:val="none"/>
        </w:rPr>
      </w:pPr>
    </w:p>
    <w:p w14:paraId="09EB1E6D">
      <w:pPr>
        <w:pStyle w:val="14"/>
        <w:keepNext/>
        <w:spacing w:beforeAutospacing="0" w:afterAutospacing="0"/>
        <w:jc w:val="center"/>
        <w:rPr>
          <w:rFonts w:hint="eastAsia" w:ascii="黑体" w:hAnsi="宋体" w:eastAsia="黑体" w:cs="黑体"/>
          <w:color w:val="000000"/>
          <w:sz w:val="44"/>
          <w:szCs w:val="44"/>
          <w:highlight w:val="none"/>
        </w:rPr>
        <w:sectPr>
          <w:pgSz w:w="11906" w:h="16838"/>
          <w:pgMar w:top="1440" w:right="1800" w:bottom="1440" w:left="1800" w:header="851" w:footer="992" w:gutter="0"/>
          <w:pgNumType w:fmt="decimal"/>
          <w:cols w:space="425" w:num="1"/>
          <w:docGrid w:type="lines" w:linePitch="312" w:charSpace="0"/>
        </w:sectPr>
      </w:pPr>
    </w:p>
    <w:p w14:paraId="394BDBC7">
      <w:pPr>
        <w:pStyle w:val="14"/>
        <w:keepNext/>
        <w:spacing w:beforeAutospacing="0" w:afterAutospacing="0"/>
        <w:jc w:val="center"/>
        <w:rPr>
          <w:highlight w:val="none"/>
        </w:rPr>
      </w:pPr>
      <w:r>
        <w:rPr>
          <w:rFonts w:hint="eastAsia" w:ascii="黑体" w:hAnsi="宋体" w:eastAsia="黑体" w:cs="黑体"/>
          <w:color w:val="000000"/>
          <w:sz w:val="44"/>
          <w:szCs w:val="44"/>
          <w:highlight w:val="none"/>
        </w:rPr>
        <w:t xml:space="preserve">第六章  投标文件格式 </w:t>
      </w:r>
    </w:p>
    <w:p w14:paraId="14D7A9D0">
      <w:pPr>
        <w:pStyle w:val="14"/>
        <w:spacing w:beforeAutospacing="0" w:afterAutospacing="0"/>
        <w:jc w:val="center"/>
        <w:rPr>
          <w:highlight w:val="none"/>
        </w:rPr>
      </w:pPr>
      <w:bookmarkStart w:id="184" w:name="_Toc26554094"/>
      <w:bookmarkEnd w:id="184"/>
      <w:bookmarkStart w:id="185" w:name="_Hlt26955039"/>
      <w:bookmarkEnd w:id="185"/>
      <w:bookmarkStart w:id="186" w:name="_Hlt26671244"/>
      <w:bookmarkEnd w:id="186"/>
      <w:bookmarkStart w:id="187" w:name="_Toc120614282"/>
      <w:bookmarkStart w:id="188" w:name="_Toc49090576"/>
      <w:r>
        <w:rPr>
          <w:rFonts w:hint="eastAsia" w:ascii="宋体" w:hAnsi="宋体" w:eastAsia="宋体" w:cs="宋体"/>
          <w:b/>
          <w:color w:val="000000"/>
          <w:sz w:val="72"/>
          <w:szCs w:val="72"/>
          <w:highlight w:val="none"/>
        </w:rPr>
        <w:t>投  标  文  件</w:t>
      </w:r>
    </w:p>
    <w:p w14:paraId="22DEB80C">
      <w:pPr>
        <w:pStyle w:val="14"/>
        <w:spacing w:beforeAutospacing="0" w:afterAutospacing="0"/>
        <w:jc w:val="center"/>
        <w:rPr>
          <w:highlight w:val="none"/>
        </w:rPr>
      </w:pPr>
      <w:r>
        <w:rPr>
          <w:highlight w:val="none"/>
        </w:rPr>
        <w:t> </w:t>
      </w:r>
    </w:p>
    <w:p w14:paraId="71BD0C14">
      <w:pPr>
        <w:pStyle w:val="14"/>
        <w:spacing w:beforeAutospacing="0" w:afterAutospacing="0"/>
        <w:jc w:val="center"/>
        <w:rPr>
          <w:highlight w:val="none"/>
        </w:rPr>
      </w:pPr>
      <w:r>
        <w:rPr>
          <w:highlight w:val="none"/>
        </w:rPr>
        <w:t> </w:t>
      </w:r>
    </w:p>
    <w:p w14:paraId="14CECC71">
      <w:pPr>
        <w:pStyle w:val="14"/>
        <w:spacing w:beforeAutospacing="0" w:afterAutospacing="0"/>
        <w:jc w:val="center"/>
        <w:rPr>
          <w:highlight w:val="none"/>
        </w:rPr>
      </w:pPr>
      <w:r>
        <w:rPr>
          <w:highlight w:val="none"/>
        </w:rPr>
        <w:t> </w:t>
      </w:r>
    </w:p>
    <w:p w14:paraId="6CF50948">
      <w:pPr>
        <w:pStyle w:val="14"/>
        <w:spacing w:beforeAutospacing="0" w:afterAutospacing="0"/>
        <w:jc w:val="center"/>
        <w:rPr>
          <w:highlight w:val="none"/>
        </w:rPr>
      </w:pPr>
      <w:r>
        <w:rPr>
          <w:highlight w:val="none"/>
        </w:rPr>
        <w:t> </w:t>
      </w:r>
    </w:p>
    <w:p w14:paraId="059E7B16">
      <w:pPr>
        <w:pStyle w:val="14"/>
        <w:spacing w:beforeAutospacing="0" w:afterAutospacing="0"/>
        <w:jc w:val="center"/>
        <w:rPr>
          <w:highlight w:val="none"/>
        </w:rPr>
      </w:pPr>
      <w:r>
        <w:rPr>
          <w:highlight w:val="none"/>
        </w:rPr>
        <w:t> </w:t>
      </w:r>
    </w:p>
    <w:p w14:paraId="47A79981">
      <w:pPr>
        <w:pStyle w:val="14"/>
        <w:spacing w:beforeAutospacing="0" w:afterAutospacing="0"/>
        <w:ind w:firstLine="1084"/>
        <w:jc w:val="both"/>
        <w:rPr>
          <w:highlight w:val="none"/>
        </w:rPr>
      </w:pPr>
      <w:r>
        <w:rPr>
          <w:rFonts w:hint="eastAsia" w:ascii="宋体" w:hAnsi="宋体" w:eastAsia="宋体" w:cs="宋体"/>
          <w:b/>
          <w:color w:val="000000"/>
          <w:sz w:val="36"/>
          <w:szCs w:val="36"/>
          <w:highlight w:val="none"/>
        </w:rPr>
        <w:t>项目 名 称：</w:t>
      </w:r>
      <w:r>
        <w:rPr>
          <w:rFonts w:hint="eastAsia" w:ascii="宋体" w:hAnsi="宋体" w:eastAsia="宋体" w:cs="宋体"/>
          <w:b/>
          <w:color w:val="000000"/>
          <w:sz w:val="36"/>
          <w:szCs w:val="36"/>
          <w:highlight w:val="none"/>
          <w:u w:val="single"/>
        </w:rPr>
        <w:t xml:space="preserve">               </w:t>
      </w:r>
    </w:p>
    <w:p w14:paraId="45010DBF">
      <w:pPr>
        <w:pStyle w:val="14"/>
        <w:spacing w:beforeAutospacing="0" w:afterAutospacing="0"/>
        <w:ind w:firstLine="1084"/>
        <w:jc w:val="both"/>
        <w:rPr>
          <w:highlight w:val="none"/>
        </w:rPr>
      </w:pPr>
      <w:r>
        <w:rPr>
          <w:rFonts w:hint="eastAsia" w:ascii="宋体" w:hAnsi="宋体" w:eastAsia="宋体" w:cs="宋体"/>
          <w:b/>
          <w:color w:val="000000"/>
          <w:sz w:val="36"/>
          <w:szCs w:val="36"/>
          <w:highlight w:val="none"/>
        </w:rPr>
        <w:t>项目 编 号：</w:t>
      </w:r>
      <w:r>
        <w:rPr>
          <w:rFonts w:hint="eastAsia" w:ascii="宋体" w:hAnsi="宋体" w:eastAsia="宋体" w:cs="宋体"/>
          <w:b/>
          <w:color w:val="000000"/>
          <w:sz w:val="36"/>
          <w:szCs w:val="36"/>
          <w:highlight w:val="none"/>
          <w:u w:val="single"/>
        </w:rPr>
        <w:t xml:space="preserve">               </w:t>
      </w:r>
    </w:p>
    <w:p w14:paraId="736DE0D4">
      <w:pPr>
        <w:pStyle w:val="14"/>
        <w:spacing w:beforeAutospacing="0" w:afterAutospacing="0"/>
        <w:jc w:val="both"/>
        <w:rPr>
          <w:highlight w:val="none"/>
        </w:rPr>
      </w:pPr>
      <w:r>
        <w:rPr>
          <w:rFonts w:hint="eastAsia" w:ascii="宋体" w:hAnsi="宋体" w:eastAsia="宋体" w:cs="宋体"/>
          <w:b/>
          <w:color w:val="000000"/>
          <w:sz w:val="36"/>
          <w:szCs w:val="36"/>
          <w:highlight w:val="none"/>
        </w:rPr>
        <w:t>   投标人名称 ：</w:t>
      </w:r>
      <w:r>
        <w:rPr>
          <w:rFonts w:hint="eastAsia" w:ascii="宋体" w:hAnsi="宋体" w:eastAsia="宋体" w:cs="宋体"/>
          <w:b/>
          <w:color w:val="000000"/>
          <w:sz w:val="36"/>
          <w:szCs w:val="36"/>
          <w:highlight w:val="none"/>
          <w:u w:val="single"/>
        </w:rPr>
        <w:t xml:space="preserve">（加盖CA电子公章）        </w:t>
      </w:r>
    </w:p>
    <w:p w14:paraId="3947E53D">
      <w:pPr>
        <w:pStyle w:val="14"/>
        <w:spacing w:beforeAutospacing="0" w:afterAutospacing="0"/>
        <w:jc w:val="both"/>
        <w:rPr>
          <w:highlight w:val="none"/>
        </w:rPr>
      </w:pPr>
      <w:r>
        <w:rPr>
          <w:rFonts w:hint="eastAsia" w:ascii="宋体" w:hAnsi="宋体" w:eastAsia="宋体" w:cs="宋体"/>
          <w:b/>
          <w:color w:val="000000"/>
          <w:sz w:val="36"/>
          <w:szCs w:val="36"/>
          <w:highlight w:val="none"/>
        </w:rPr>
        <w:t>   日   期 ：</w:t>
      </w:r>
      <w:r>
        <w:rPr>
          <w:rFonts w:hint="eastAsia" w:ascii="宋体" w:hAnsi="宋体" w:eastAsia="宋体" w:cs="宋体"/>
          <w:b/>
          <w:color w:val="000000"/>
          <w:sz w:val="36"/>
          <w:szCs w:val="36"/>
          <w:highlight w:val="none"/>
          <w:u w:val="single"/>
        </w:rPr>
        <w:t>                     </w:t>
      </w:r>
    </w:p>
    <w:p w14:paraId="008F6786">
      <w:pPr>
        <w:pStyle w:val="14"/>
        <w:spacing w:beforeAutospacing="0" w:afterAutospacing="0" w:line="0" w:lineRule="atLeast"/>
        <w:jc w:val="center"/>
        <w:rPr>
          <w:highlight w:val="none"/>
        </w:rPr>
      </w:pPr>
      <w:r>
        <w:rPr>
          <w:highlight w:val="none"/>
        </w:rPr>
        <w:t> </w:t>
      </w:r>
    </w:p>
    <w:p w14:paraId="0004A50C">
      <w:pPr>
        <w:pStyle w:val="14"/>
        <w:spacing w:beforeAutospacing="0" w:afterAutospacing="0" w:line="0" w:lineRule="atLeast"/>
        <w:jc w:val="both"/>
        <w:rPr>
          <w:highlight w:val="none"/>
        </w:rPr>
      </w:pPr>
      <w:r>
        <w:rPr>
          <w:highlight w:val="none"/>
        </w:rPr>
        <w:t> </w:t>
      </w:r>
    </w:p>
    <w:p w14:paraId="79EF6E88">
      <w:pPr>
        <w:pStyle w:val="14"/>
        <w:spacing w:beforeAutospacing="0" w:afterAutospacing="0" w:line="0" w:lineRule="atLeast"/>
        <w:jc w:val="center"/>
        <w:rPr>
          <w:rFonts w:ascii="宋体" w:hAnsi="宋体" w:eastAsia="宋体" w:cs="宋体"/>
          <w:b/>
          <w:color w:val="000000"/>
          <w:sz w:val="36"/>
          <w:szCs w:val="36"/>
          <w:highlight w:val="none"/>
          <w:u w:val="single"/>
        </w:rPr>
      </w:pPr>
    </w:p>
    <w:p w14:paraId="7D1777AA">
      <w:pPr>
        <w:pStyle w:val="14"/>
        <w:spacing w:beforeAutospacing="0" w:afterAutospacing="0" w:line="0" w:lineRule="atLeast"/>
        <w:jc w:val="center"/>
        <w:rPr>
          <w:rFonts w:hint="eastAsia" w:ascii="宋体" w:hAnsi="宋体" w:eastAsia="宋体" w:cs="宋体"/>
          <w:b/>
          <w:color w:val="000000"/>
          <w:sz w:val="32"/>
          <w:szCs w:val="32"/>
          <w:highlight w:val="none"/>
        </w:rPr>
        <w:sectPr>
          <w:pgSz w:w="11906" w:h="16838"/>
          <w:pgMar w:top="1440" w:right="1800" w:bottom="1440" w:left="1800" w:header="851" w:footer="992" w:gutter="0"/>
          <w:pgNumType w:fmt="decimal"/>
          <w:cols w:space="425" w:num="1"/>
          <w:docGrid w:type="lines" w:linePitch="312" w:charSpace="0"/>
        </w:sectPr>
      </w:pPr>
    </w:p>
    <w:p w14:paraId="06EE6D93">
      <w:pPr>
        <w:pStyle w:val="14"/>
        <w:spacing w:beforeAutospacing="0" w:afterAutospacing="0" w:line="0" w:lineRule="atLeast"/>
        <w:jc w:val="center"/>
        <w:rPr>
          <w:highlight w:val="none"/>
        </w:rPr>
      </w:pPr>
      <w:r>
        <w:rPr>
          <w:rFonts w:hint="eastAsia" w:ascii="宋体" w:hAnsi="宋体" w:eastAsia="宋体" w:cs="宋体"/>
          <w:b/>
          <w:color w:val="000000"/>
          <w:sz w:val="32"/>
          <w:szCs w:val="32"/>
          <w:highlight w:val="none"/>
        </w:rPr>
        <w:t>投标文件目录</w:t>
      </w:r>
    </w:p>
    <w:p w14:paraId="30EA27C7">
      <w:pPr>
        <w:pStyle w:val="14"/>
        <w:spacing w:beforeAutospacing="0" w:afterAutospacing="0" w:line="0" w:lineRule="atLeast"/>
        <w:jc w:val="center"/>
        <w:rPr>
          <w:highlight w:val="none"/>
        </w:rPr>
      </w:pPr>
      <w:r>
        <w:rPr>
          <w:highlight w:val="none"/>
        </w:rPr>
        <w:t> </w:t>
      </w:r>
    </w:p>
    <w:p w14:paraId="5713C76E">
      <w:pPr>
        <w:pStyle w:val="14"/>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一、法人或者其他组织的营业执照等证明文件，自然人的身份证明</w:t>
      </w:r>
    </w:p>
    <w:p w14:paraId="0631C9D2">
      <w:pPr>
        <w:tabs>
          <w:tab w:val="left" w:pos="1331"/>
        </w:tabs>
        <w:bidi w:val="0"/>
        <w:ind w:firstLine="480" w:firstLineChars="200"/>
        <w:jc w:val="left"/>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二、上一年度的财务状况报告（至少提供资产负债表、利润表、现金流量表，</w:t>
      </w:r>
    </w:p>
    <w:p w14:paraId="0C60B884">
      <w:pPr>
        <w:pStyle w:val="14"/>
        <w:spacing w:beforeAutospacing="0" w:afterAutospacing="0"/>
        <w:ind w:left="480"/>
        <w:jc w:val="both"/>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投标人成立不满一年无需提供）</w:t>
      </w:r>
    </w:p>
    <w:p w14:paraId="42ACAE88">
      <w:pPr>
        <w:pStyle w:val="14"/>
        <w:spacing w:beforeAutospacing="0" w:afterAutospacing="0"/>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、具备履行合同所必需的设备和专业技术能力的书面声明</w:t>
      </w:r>
    </w:p>
    <w:p w14:paraId="3F988CBE">
      <w:pPr>
        <w:pStyle w:val="14"/>
        <w:spacing w:beforeAutospacing="0" w:afterAutospacing="0"/>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58936FC6">
      <w:pPr>
        <w:pStyle w:val="14"/>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五、参加政府采购活动前 3 年内在经营活动中没有重大违法记录的书面声明</w:t>
      </w:r>
    </w:p>
    <w:p w14:paraId="6CFBDE60">
      <w:pPr>
        <w:pStyle w:val="14"/>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六、特定资格要求的证明文件（如果本项目设置特定资格要求，则需要提供）</w:t>
      </w:r>
    </w:p>
    <w:p w14:paraId="3E3E3867">
      <w:pPr>
        <w:pStyle w:val="14"/>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七、法人授权书</w:t>
      </w:r>
    </w:p>
    <w:p w14:paraId="3BDE6B94">
      <w:pPr>
        <w:pStyle w:val="14"/>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八、投标函</w:t>
      </w:r>
    </w:p>
    <w:p w14:paraId="5FEA8D1E">
      <w:pPr>
        <w:pStyle w:val="14"/>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九、</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p>
    <w:p w14:paraId="4D58AB9A">
      <w:pPr>
        <w:pStyle w:val="14"/>
        <w:spacing w:beforeAutospacing="0" w:afterAutospacing="0" w:line="0" w:lineRule="atLeast"/>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十、残疾人福利性单位声明函</w:t>
      </w:r>
    </w:p>
    <w:p w14:paraId="5A16B8B8">
      <w:pPr>
        <w:pStyle w:val="14"/>
        <w:spacing w:beforeAutospacing="0" w:afterAutospacing="0" w:line="0" w:lineRule="atLeast"/>
        <w:ind w:firstLine="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十一、</w:t>
      </w:r>
      <w:r>
        <w:rPr>
          <w:rFonts w:hint="eastAsia" w:ascii="宋体" w:hAnsi="宋体" w:eastAsia="宋体" w:cs="宋体"/>
          <w:i w:val="0"/>
          <w:iCs/>
          <w:color w:val="auto"/>
          <w:highlight w:val="none"/>
          <w:u w:val="none"/>
        </w:rPr>
        <w:t xml:space="preserve"> 关于符合本国产品标准的声明函</w:t>
      </w:r>
    </w:p>
    <w:p w14:paraId="4BC689F6">
      <w:pPr>
        <w:pStyle w:val="14"/>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二</w:t>
      </w:r>
      <w:r>
        <w:rPr>
          <w:rFonts w:hint="eastAsia" w:ascii="宋体" w:hAnsi="宋体" w:eastAsia="宋体" w:cs="宋体"/>
          <w:i w:val="0"/>
          <w:iCs/>
          <w:color w:val="000000"/>
          <w:highlight w:val="none"/>
          <w:u w:val="none"/>
        </w:rPr>
        <w:t>、联合体协议</w:t>
      </w:r>
    </w:p>
    <w:p w14:paraId="10FACCFD">
      <w:pPr>
        <w:pStyle w:val="14"/>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、投标分项报价表</w:t>
      </w:r>
    </w:p>
    <w:p w14:paraId="3D4B2D5B">
      <w:pPr>
        <w:pStyle w:val="14"/>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、技术要求响应及偏离表</w:t>
      </w:r>
    </w:p>
    <w:p w14:paraId="36564321">
      <w:pPr>
        <w:pStyle w:val="14"/>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五</w:t>
      </w:r>
      <w:r>
        <w:rPr>
          <w:rFonts w:hint="eastAsia" w:ascii="宋体" w:hAnsi="宋体" w:eastAsia="宋体" w:cs="宋体"/>
          <w:i w:val="0"/>
          <w:iCs/>
          <w:color w:val="000000"/>
          <w:highlight w:val="none"/>
          <w:u w:val="none"/>
        </w:rPr>
        <w:t>、商务要求响应及偏离表</w:t>
      </w:r>
    </w:p>
    <w:p w14:paraId="36DCB0F0">
      <w:pPr>
        <w:pStyle w:val="14"/>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六</w:t>
      </w:r>
      <w:r>
        <w:rPr>
          <w:rFonts w:hint="eastAsia" w:ascii="宋体" w:hAnsi="宋体" w:eastAsia="宋体" w:cs="宋体"/>
          <w:i w:val="0"/>
          <w:iCs/>
          <w:color w:val="000000"/>
          <w:highlight w:val="none"/>
          <w:u w:val="none"/>
        </w:rPr>
        <w:t>、开标一览表</w:t>
      </w:r>
    </w:p>
    <w:p w14:paraId="3977BF65">
      <w:pPr>
        <w:widowControl/>
        <w:spacing w:before="50" w:after="50"/>
        <w:ind w:firstLine="480" w:firstLineChars="200"/>
        <w:rPr>
          <w:rFonts w:ascii="宋体" w:hAnsi="宋体" w:eastAsia="宋体" w:cs="宋体"/>
          <w:i w:val="0"/>
          <w:iCs/>
          <w:color w:val="000000"/>
          <w:kern w:val="0"/>
          <w:sz w:val="24"/>
          <w:highlight w:val="none"/>
          <w:u w:val="none"/>
        </w:rPr>
      </w:pPr>
      <w:r>
        <w:rPr>
          <w:rFonts w:hint="eastAsia" w:ascii="宋体" w:hAnsi="宋体" w:eastAsia="宋体" w:cs="宋体"/>
          <w:i w:val="0"/>
          <w:iCs/>
          <w:color w:val="000000"/>
          <w:kern w:val="0"/>
          <w:sz w:val="24"/>
          <w:highlight w:val="none"/>
          <w:u w:val="none"/>
        </w:rPr>
        <w:t>十</w:t>
      </w:r>
      <w:r>
        <w:rPr>
          <w:rFonts w:hint="eastAsia" w:ascii="宋体" w:hAnsi="宋体" w:eastAsia="宋体" w:cs="宋体"/>
          <w:i w:val="0"/>
          <w:iCs/>
          <w:color w:val="000000"/>
          <w:kern w:val="0"/>
          <w:sz w:val="24"/>
          <w:highlight w:val="none"/>
          <w:u w:val="none"/>
          <w:lang w:val="en-US" w:eastAsia="zh-CN"/>
        </w:rPr>
        <w:t>七</w:t>
      </w:r>
      <w:r>
        <w:rPr>
          <w:rFonts w:hint="eastAsia" w:ascii="宋体" w:hAnsi="宋体" w:eastAsia="宋体" w:cs="宋体"/>
          <w:i w:val="0"/>
          <w:iCs/>
          <w:color w:val="000000"/>
          <w:kern w:val="0"/>
          <w:sz w:val="24"/>
          <w:highlight w:val="none"/>
          <w:u w:val="none"/>
        </w:rPr>
        <w:t>、技术方案、服务承诺、培训承诺等</w:t>
      </w:r>
    </w:p>
    <w:p w14:paraId="13385F10">
      <w:pPr>
        <w:pStyle w:val="14"/>
        <w:spacing w:beforeAutospacing="0" w:afterAutospacing="0" w:line="360" w:lineRule="auto"/>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八</w:t>
      </w:r>
      <w:r>
        <w:rPr>
          <w:rFonts w:hint="eastAsia" w:ascii="宋体" w:hAnsi="宋体" w:eastAsia="宋体" w:cs="宋体"/>
          <w:i w:val="0"/>
          <w:iCs/>
          <w:color w:val="000000"/>
          <w:highlight w:val="none"/>
          <w:u w:val="none"/>
        </w:rPr>
        <w:t>、盐城市政府采购事前信用承诺书</w:t>
      </w:r>
    </w:p>
    <w:p w14:paraId="71BE63F9">
      <w:pPr>
        <w:pStyle w:val="14"/>
        <w:spacing w:beforeAutospacing="0" w:afterAutospacing="0" w:line="0" w:lineRule="atLeast"/>
        <w:ind w:firstLine="480"/>
        <w:jc w:val="both"/>
        <w:rPr>
          <w:rFonts w:ascii="宋体" w:hAnsi="宋体" w:eastAsia="宋体" w:cs="宋体"/>
          <w:color w:val="000000"/>
          <w:highlight w:val="none"/>
        </w:rPr>
      </w:pPr>
    </w:p>
    <w:p w14:paraId="77C0513D">
      <w:pPr>
        <w:pStyle w:val="14"/>
        <w:spacing w:beforeAutospacing="0" w:afterAutospacing="0" w:line="0" w:lineRule="atLeast"/>
        <w:ind w:firstLine="480"/>
        <w:jc w:val="both"/>
        <w:rPr>
          <w:rFonts w:ascii="宋体" w:hAnsi="宋体" w:eastAsia="宋体" w:cs="宋体"/>
          <w:color w:val="000000"/>
          <w:highlight w:val="none"/>
        </w:rPr>
      </w:pPr>
    </w:p>
    <w:p w14:paraId="28A2EEB9">
      <w:pPr>
        <w:pStyle w:val="14"/>
        <w:spacing w:beforeAutospacing="0" w:afterAutospacing="0" w:line="0" w:lineRule="atLeast"/>
        <w:ind w:firstLine="480"/>
        <w:jc w:val="both"/>
        <w:rPr>
          <w:highlight w:val="none"/>
        </w:rPr>
      </w:pPr>
      <w:r>
        <w:rPr>
          <w:highlight w:val="none"/>
        </w:rPr>
        <w:t> </w:t>
      </w:r>
    </w:p>
    <w:p w14:paraId="400734C6">
      <w:pPr>
        <w:pStyle w:val="14"/>
        <w:spacing w:beforeAutospacing="0" w:afterAutospacing="0" w:line="0" w:lineRule="atLeast"/>
        <w:ind w:firstLine="480"/>
        <w:jc w:val="both"/>
        <w:rPr>
          <w:highlight w:val="none"/>
        </w:rPr>
      </w:pPr>
      <w:r>
        <w:rPr>
          <w:highlight w:val="none"/>
        </w:rPr>
        <w:t> </w:t>
      </w:r>
    </w:p>
    <w:p w14:paraId="41206A44">
      <w:pPr>
        <w:pStyle w:val="14"/>
        <w:spacing w:beforeAutospacing="0" w:afterAutospacing="0" w:line="0" w:lineRule="atLeast"/>
        <w:ind w:firstLine="480"/>
        <w:jc w:val="both"/>
        <w:rPr>
          <w:highlight w:val="none"/>
        </w:rPr>
      </w:pPr>
      <w:r>
        <w:rPr>
          <w:highlight w:val="none"/>
        </w:rPr>
        <w:t> </w:t>
      </w:r>
    </w:p>
    <w:p w14:paraId="7E08E7EC">
      <w:pPr>
        <w:pStyle w:val="14"/>
        <w:spacing w:beforeAutospacing="0" w:afterAutospacing="0" w:line="0" w:lineRule="atLeast"/>
        <w:ind w:firstLine="480"/>
        <w:jc w:val="both"/>
        <w:rPr>
          <w:highlight w:val="none"/>
        </w:rPr>
      </w:pPr>
      <w:r>
        <w:rPr>
          <w:highlight w:val="none"/>
        </w:rPr>
        <w:t> </w:t>
      </w:r>
    </w:p>
    <w:p w14:paraId="22FD2207">
      <w:pPr>
        <w:pStyle w:val="14"/>
        <w:spacing w:beforeAutospacing="0" w:afterAutospacing="0" w:line="0" w:lineRule="atLeast"/>
        <w:ind w:firstLine="480"/>
        <w:jc w:val="both"/>
        <w:rPr>
          <w:highlight w:val="none"/>
        </w:rPr>
      </w:pPr>
    </w:p>
    <w:p w14:paraId="5C7EF343">
      <w:pPr>
        <w:pStyle w:val="14"/>
        <w:spacing w:beforeAutospacing="0" w:afterAutospacing="0" w:line="0" w:lineRule="atLeast"/>
        <w:ind w:firstLine="480"/>
        <w:jc w:val="both"/>
        <w:rPr>
          <w:highlight w:val="none"/>
        </w:rPr>
      </w:pPr>
    </w:p>
    <w:p w14:paraId="36B01A60">
      <w:pPr>
        <w:pStyle w:val="14"/>
        <w:spacing w:beforeAutospacing="0" w:afterAutospacing="0" w:line="0" w:lineRule="atLeast"/>
        <w:ind w:firstLine="480"/>
        <w:jc w:val="both"/>
        <w:rPr>
          <w:highlight w:val="none"/>
        </w:rPr>
      </w:pPr>
    </w:p>
    <w:p w14:paraId="02254F24">
      <w:pPr>
        <w:pStyle w:val="14"/>
        <w:spacing w:beforeAutospacing="0" w:afterAutospacing="0" w:line="0" w:lineRule="atLeast"/>
        <w:ind w:firstLine="480"/>
        <w:jc w:val="both"/>
        <w:rPr>
          <w:highlight w:val="none"/>
        </w:rPr>
      </w:pPr>
    </w:p>
    <w:p w14:paraId="4AB0D669">
      <w:pPr>
        <w:pStyle w:val="14"/>
        <w:spacing w:beforeAutospacing="0" w:afterAutospacing="0" w:line="0" w:lineRule="atLeast"/>
        <w:ind w:firstLine="480"/>
        <w:jc w:val="both"/>
        <w:rPr>
          <w:highlight w:val="none"/>
        </w:rPr>
      </w:pPr>
    </w:p>
    <w:p w14:paraId="083788F3">
      <w:pPr>
        <w:pStyle w:val="14"/>
        <w:spacing w:beforeAutospacing="0" w:afterAutospacing="0" w:line="0" w:lineRule="atLeast"/>
        <w:ind w:firstLine="480"/>
        <w:jc w:val="both"/>
        <w:rPr>
          <w:highlight w:val="none"/>
        </w:rPr>
      </w:pPr>
    </w:p>
    <w:p w14:paraId="1EC8B59E">
      <w:pPr>
        <w:pStyle w:val="14"/>
        <w:spacing w:beforeAutospacing="0" w:afterAutospacing="0" w:line="0" w:lineRule="atLeast"/>
        <w:ind w:firstLine="480"/>
        <w:jc w:val="both"/>
        <w:rPr>
          <w:highlight w:val="none"/>
        </w:rPr>
      </w:pPr>
    </w:p>
    <w:p w14:paraId="02056A74">
      <w:pPr>
        <w:pStyle w:val="14"/>
        <w:spacing w:beforeAutospacing="0" w:afterAutospacing="0" w:line="0" w:lineRule="atLeast"/>
        <w:ind w:firstLine="480"/>
        <w:jc w:val="both"/>
        <w:rPr>
          <w:highlight w:val="none"/>
        </w:rPr>
      </w:pPr>
    </w:p>
    <w:p w14:paraId="220C742C">
      <w:pPr>
        <w:pStyle w:val="14"/>
        <w:spacing w:beforeAutospacing="0" w:afterAutospacing="0" w:line="0" w:lineRule="atLeast"/>
        <w:ind w:firstLine="480"/>
        <w:jc w:val="both"/>
        <w:rPr>
          <w:highlight w:val="none"/>
        </w:rPr>
      </w:pPr>
    </w:p>
    <w:p w14:paraId="19D49FFD">
      <w:pPr>
        <w:pStyle w:val="14"/>
        <w:spacing w:beforeAutospacing="0" w:afterAutospacing="0" w:line="0" w:lineRule="atLeast"/>
        <w:ind w:firstLine="480"/>
        <w:jc w:val="both"/>
        <w:rPr>
          <w:highlight w:val="none"/>
        </w:rPr>
      </w:pPr>
    </w:p>
    <w:p w14:paraId="5593769B">
      <w:pPr>
        <w:pStyle w:val="14"/>
        <w:spacing w:beforeAutospacing="0" w:afterAutospacing="0" w:line="0" w:lineRule="atLeast"/>
        <w:ind w:firstLine="480"/>
        <w:jc w:val="both"/>
        <w:rPr>
          <w:highlight w:val="none"/>
        </w:rPr>
      </w:pPr>
    </w:p>
    <w:p w14:paraId="75F6EE61">
      <w:pPr>
        <w:pStyle w:val="14"/>
        <w:spacing w:beforeAutospacing="0" w:afterAutospacing="0" w:line="0" w:lineRule="atLeast"/>
        <w:ind w:firstLine="480"/>
        <w:jc w:val="both"/>
        <w:rPr>
          <w:highlight w:val="none"/>
        </w:rPr>
      </w:pPr>
    </w:p>
    <w:p w14:paraId="31558438">
      <w:pPr>
        <w:pStyle w:val="14"/>
        <w:spacing w:beforeAutospacing="0" w:afterAutospacing="0" w:line="0" w:lineRule="atLeast"/>
        <w:ind w:firstLine="480"/>
        <w:jc w:val="both"/>
        <w:rPr>
          <w:highlight w:val="none"/>
        </w:rPr>
      </w:pPr>
    </w:p>
    <w:p w14:paraId="28CCB0B1">
      <w:pPr>
        <w:pStyle w:val="14"/>
        <w:spacing w:beforeAutospacing="0" w:afterAutospacing="0" w:line="0" w:lineRule="atLeast"/>
        <w:ind w:firstLine="480"/>
        <w:jc w:val="both"/>
        <w:rPr>
          <w:highlight w:val="none"/>
        </w:rPr>
      </w:pPr>
    </w:p>
    <w:p w14:paraId="69E86489">
      <w:pPr>
        <w:pStyle w:val="14"/>
        <w:spacing w:beforeAutospacing="0" w:afterAutospacing="0" w:line="0" w:lineRule="atLeast"/>
        <w:ind w:firstLine="480"/>
        <w:jc w:val="both"/>
        <w:rPr>
          <w:highlight w:val="none"/>
        </w:rPr>
      </w:pPr>
      <w:r>
        <w:rPr>
          <w:highlight w:val="none"/>
        </w:rPr>
        <w:t> </w:t>
      </w:r>
    </w:p>
    <w:p w14:paraId="583B5796">
      <w:pPr>
        <w:pStyle w:val="14"/>
        <w:spacing w:beforeAutospacing="0" w:afterAutospacing="0" w:line="0" w:lineRule="atLeast"/>
        <w:ind w:firstLine="480"/>
        <w:jc w:val="both"/>
        <w:rPr>
          <w:highlight w:val="none"/>
        </w:rPr>
      </w:pPr>
      <w:r>
        <w:rPr>
          <w:highlight w:val="none"/>
        </w:rPr>
        <w:t> </w:t>
      </w:r>
    </w:p>
    <w:p w14:paraId="65A71E3F">
      <w:pPr>
        <w:pStyle w:val="14"/>
        <w:spacing w:beforeAutospacing="0" w:afterAutospacing="0" w:line="0" w:lineRule="atLeast"/>
        <w:ind w:firstLine="480"/>
        <w:jc w:val="both"/>
        <w:rPr>
          <w:highlight w:val="none"/>
        </w:rPr>
      </w:pPr>
      <w:r>
        <w:rPr>
          <w:highlight w:val="none"/>
        </w:rPr>
        <w:t> </w:t>
      </w:r>
    </w:p>
    <w:p w14:paraId="4A7AD10E">
      <w:pPr>
        <w:pStyle w:val="14"/>
        <w:spacing w:beforeAutospacing="0" w:afterAutospacing="0" w:line="0" w:lineRule="atLeast"/>
        <w:ind w:firstLine="480"/>
        <w:jc w:val="both"/>
        <w:rPr>
          <w:highlight w:val="none"/>
        </w:rPr>
      </w:pPr>
      <w:r>
        <w:rPr>
          <w:highlight w:val="none"/>
        </w:rPr>
        <w:t> </w:t>
      </w:r>
    </w:p>
    <w:p w14:paraId="3AFD48EA">
      <w:pPr>
        <w:pStyle w:val="14"/>
        <w:spacing w:beforeAutospacing="0" w:afterAutospacing="0"/>
        <w:jc w:val="both"/>
        <w:rPr>
          <w:highlight w:val="none"/>
        </w:rPr>
      </w:pPr>
      <w:r>
        <w:rPr>
          <w:rFonts w:hint="eastAsia" w:ascii="黑体" w:hAnsi="宋体" w:eastAsia="黑体" w:cs="黑体"/>
          <w:i/>
          <w:color w:val="000000"/>
          <w:sz w:val="32"/>
          <w:szCs w:val="32"/>
          <w:highlight w:val="none"/>
          <w:u w:val="single"/>
        </w:rPr>
        <w:t>一、法人或者其他组织的营业执照等证明文件，自然人的身份证明</w:t>
      </w:r>
    </w:p>
    <w:p w14:paraId="20683007">
      <w:pPr>
        <w:pStyle w:val="14"/>
        <w:spacing w:beforeAutospacing="0" w:afterAutospacing="0" w:line="0" w:lineRule="atLeast"/>
        <w:ind w:firstLine="480"/>
        <w:jc w:val="both"/>
        <w:rPr>
          <w:highlight w:val="none"/>
        </w:rPr>
      </w:pPr>
      <w:r>
        <w:rPr>
          <w:highlight w:val="none"/>
        </w:rPr>
        <w:t> </w:t>
      </w:r>
    </w:p>
    <w:p w14:paraId="31F29E3F">
      <w:pPr>
        <w:pStyle w:val="14"/>
        <w:spacing w:beforeAutospacing="0" w:afterAutospacing="0"/>
        <w:jc w:val="both"/>
        <w:rPr>
          <w:rFonts w:hint="eastAsia" w:eastAsia="黑体"/>
          <w:highlight w:val="none"/>
          <w:lang w:val="en-US" w:eastAsia="zh-CN"/>
        </w:rPr>
      </w:pPr>
      <w:r>
        <w:rPr>
          <w:rFonts w:hint="eastAsia" w:ascii="黑体" w:hAnsi="宋体" w:eastAsia="黑体" w:cs="黑体"/>
          <w:i/>
          <w:color w:val="000000"/>
          <w:sz w:val="32"/>
          <w:szCs w:val="32"/>
          <w:highlight w:val="none"/>
          <w:u w:val="single"/>
        </w:rPr>
        <w:t>二、上一年度的财务状况报</w:t>
      </w:r>
      <w:r>
        <w:rPr>
          <w:rFonts w:hint="eastAsia" w:ascii="黑体" w:hAnsi="宋体" w:eastAsia="黑体" w:cs="黑体"/>
          <w:i/>
          <w:color w:val="000000"/>
          <w:sz w:val="32"/>
          <w:szCs w:val="32"/>
          <w:highlight w:val="none"/>
          <w:u w:val="single"/>
          <w:lang w:val="en-US" w:eastAsia="zh-CN"/>
        </w:rPr>
        <w:t>告</w:t>
      </w:r>
    </w:p>
    <w:p w14:paraId="057FE733">
      <w:pPr>
        <w:tabs>
          <w:tab w:val="left" w:pos="1331"/>
        </w:tabs>
        <w:bidi w:val="0"/>
        <w:jc w:val="left"/>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（至少提供资产负债表、利润表、现金流量表，投标人成立不满一年无需提供）</w:t>
      </w:r>
    </w:p>
    <w:p w14:paraId="4778C699">
      <w:pPr>
        <w:pStyle w:val="14"/>
        <w:spacing w:beforeAutospacing="0" w:afterAutospacing="0" w:line="0" w:lineRule="atLeast"/>
        <w:ind w:firstLine="480"/>
        <w:jc w:val="both"/>
        <w:rPr>
          <w:highlight w:val="none"/>
        </w:rPr>
      </w:pPr>
    </w:p>
    <w:p w14:paraId="25FFB547">
      <w:pPr>
        <w:pStyle w:val="14"/>
        <w:spacing w:beforeAutospacing="0" w:afterAutospacing="0"/>
        <w:jc w:val="both"/>
        <w:rPr>
          <w:highlight w:val="none"/>
        </w:rPr>
      </w:pPr>
      <w:r>
        <w:rPr>
          <w:highlight w:val="none"/>
        </w:rPr>
        <w:t> </w:t>
      </w:r>
    </w:p>
    <w:p w14:paraId="63180049">
      <w:pPr>
        <w:pStyle w:val="14"/>
        <w:spacing w:beforeAutospacing="0" w:afterAutospacing="0"/>
        <w:jc w:val="both"/>
        <w:rPr>
          <w:highlight w:val="none"/>
        </w:rPr>
      </w:pPr>
      <w:r>
        <w:rPr>
          <w:highlight w:val="none"/>
        </w:rPr>
        <w:t> </w:t>
      </w:r>
    </w:p>
    <w:p w14:paraId="7F1E7E29">
      <w:pPr>
        <w:pStyle w:val="14"/>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三</w:t>
      </w:r>
      <w:r>
        <w:rPr>
          <w:rFonts w:hint="eastAsia" w:ascii="黑体" w:hAnsi="宋体" w:eastAsia="黑体" w:cs="黑体"/>
          <w:i/>
          <w:color w:val="000000"/>
          <w:sz w:val="32"/>
          <w:szCs w:val="32"/>
          <w:highlight w:val="none"/>
          <w:u w:val="single"/>
        </w:rPr>
        <w:t>、具备履行合同所必需的设备和专业技术能力的书面声明</w:t>
      </w:r>
    </w:p>
    <w:p w14:paraId="472E9ABD">
      <w:pPr>
        <w:pStyle w:val="14"/>
        <w:spacing w:beforeAutospacing="0" w:afterAutospacing="0" w:line="0" w:lineRule="atLeast"/>
        <w:ind w:firstLine="492"/>
        <w:jc w:val="both"/>
        <w:rPr>
          <w:highlight w:val="none"/>
        </w:rPr>
      </w:pPr>
      <w:r>
        <w:rPr>
          <w:rFonts w:hint="eastAsia" w:ascii="宋体" w:hAnsi="宋体" w:eastAsia="宋体" w:cs="宋体"/>
          <w:color w:val="000000"/>
          <w:highlight w:val="none"/>
        </w:rPr>
        <w:t>我单位郑重声明：我单位具备履行本项采购合同所必需的设备和专业技术能力，为履行本项采购合同我公司具备如下主要设备和主要专业技术能力：</w:t>
      </w:r>
    </w:p>
    <w:p w14:paraId="2987A767">
      <w:pPr>
        <w:pStyle w:val="14"/>
        <w:spacing w:beforeAutospacing="0" w:afterAutospacing="0" w:line="0" w:lineRule="atLeast"/>
        <w:ind w:firstLine="492"/>
        <w:jc w:val="both"/>
        <w:rPr>
          <w:highlight w:val="none"/>
        </w:rPr>
      </w:pPr>
      <w:r>
        <w:rPr>
          <w:rFonts w:hint="eastAsia" w:ascii="宋体" w:hAnsi="宋体" w:eastAsia="宋体" w:cs="宋体"/>
          <w:color w:val="000000"/>
          <w:highlight w:val="none"/>
        </w:rPr>
        <w:t>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3BCA7677">
      <w:pPr>
        <w:pStyle w:val="14"/>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7E763E7C">
      <w:pPr>
        <w:pStyle w:val="14"/>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四</w:t>
      </w:r>
      <w:r>
        <w:rPr>
          <w:rFonts w:hint="eastAsia" w:ascii="黑体" w:hAnsi="宋体" w:eastAsia="黑体" w:cs="黑体"/>
          <w:i/>
          <w:color w:val="000000"/>
          <w:sz w:val="32"/>
          <w:szCs w:val="32"/>
          <w:highlight w:val="none"/>
          <w:u w:val="single"/>
        </w:rPr>
        <w:t>、依法缴纳税收和社会保障资金的相关材料</w:t>
      </w:r>
    </w:p>
    <w:p w14:paraId="573B755F">
      <w:pPr>
        <w:pStyle w:val="14"/>
        <w:spacing w:beforeAutospacing="0" w:afterAutospacing="0"/>
        <w:ind w:firstLine="480"/>
        <w:jc w:val="both"/>
        <w:rPr>
          <w:highlight w:val="none"/>
        </w:rPr>
      </w:pPr>
      <w:bookmarkStart w:id="189" w:name="_Toc120614284"/>
      <w:r>
        <w:rPr>
          <w:rFonts w:hint="eastAsia" w:ascii="宋体" w:hAnsi="宋体" w:eastAsia="宋体" w:cs="宋体"/>
          <w:color w:val="000000"/>
          <w:highlight w:val="none"/>
        </w:rPr>
        <w:t>提供提交投标文件截止时间前一年内至少一个月依法缴纳税收及缴纳社会保障资金的证明材料。投标人依法享受缓缴、免缴税收、社会保障资金的提供证明材料。</w:t>
      </w:r>
      <w:bookmarkEnd w:id="189"/>
    </w:p>
    <w:p w14:paraId="363F6DD6">
      <w:pPr>
        <w:pStyle w:val="14"/>
        <w:spacing w:beforeAutospacing="0" w:afterAutospacing="0"/>
        <w:jc w:val="both"/>
        <w:rPr>
          <w:highlight w:val="none"/>
        </w:rPr>
      </w:pPr>
      <w:r>
        <w:rPr>
          <w:rFonts w:hint="eastAsia" w:ascii="黑体" w:hAnsi="宋体" w:eastAsia="黑体" w:cs="黑体"/>
          <w:i/>
          <w:color w:val="000000"/>
          <w:sz w:val="32"/>
          <w:szCs w:val="32"/>
          <w:highlight w:val="none"/>
          <w:u w:val="single"/>
        </w:rPr>
        <w:t>五、参加政府采购活动前 3 年内在经营活动中没有重大违法记录的书面声明</w:t>
      </w:r>
    </w:p>
    <w:p w14:paraId="493AC879">
      <w:pPr>
        <w:pStyle w:val="14"/>
        <w:spacing w:beforeAutospacing="0" w:afterAutospacing="0" w:line="0" w:lineRule="atLeast"/>
        <w:jc w:val="both"/>
        <w:rPr>
          <w:highlight w:val="none"/>
        </w:rPr>
      </w:pPr>
      <w:r>
        <w:rPr>
          <w:rFonts w:hint="eastAsia" w:ascii="宋体" w:hAnsi="宋体" w:eastAsia="宋体" w:cs="宋体"/>
          <w:b/>
          <w:color w:val="000000"/>
          <w:sz w:val="44"/>
          <w:szCs w:val="44"/>
          <w:highlight w:val="none"/>
        </w:rPr>
        <w:t>       声  明</w:t>
      </w:r>
    </w:p>
    <w:p w14:paraId="41791563">
      <w:pPr>
        <w:pStyle w:val="14"/>
        <w:spacing w:beforeAutospacing="0" w:afterAutospacing="0" w:line="0" w:lineRule="atLeast"/>
        <w:jc w:val="both"/>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6119E2AF">
      <w:pPr>
        <w:pStyle w:val="14"/>
        <w:spacing w:beforeAutospacing="0" w:afterAutospacing="0"/>
        <w:jc w:val="both"/>
        <w:rPr>
          <w:highlight w:val="none"/>
        </w:rPr>
      </w:pPr>
      <w:r>
        <w:rPr>
          <w:highlight w:val="none"/>
        </w:rPr>
        <w:t> </w:t>
      </w:r>
    </w:p>
    <w:p w14:paraId="03822A78">
      <w:pPr>
        <w:pStyle w:val="14"/>
        <w:spacing w:beforeAutospacing="0" w:afterAutospacing="0"/>
        <w:jc w:val="both"/>
        <w:rPr>
          <w:highlight w:val="none"/>
        </w:rPr>
      </w:pPr>
      <w:r>
        <w:rPr>
          <w:rFonts w:hint="eastAsia" w:ascii="黑体" w:hAnsi="宋体" w:eastAsia="黑体" w:cs="黑体"/>
          <w:i/>
          <w:color w:val="000000"/>
          <w:sz w:val="32"/>
          <w:szCs w:val="32"/>
          <w:highlight w:val="none"/>
          <w:u w:val="single"/>
        </w:rPr>
        <w:t>六、特定资格要求的证明文件</w:t>
      </w:r>
    </w:p>
    <w:p w14:paraId="4C7AE4BB">
      <w:pPr>
        <w:pStyle w:val="14"/>
        <w:spacing w:beforeAutospacing="0" w:afterAutospacing="0" w:line="0" w:lineRule="atLeast"/>
        <w:jc w:val="both"/>
        <w:rPr>
          <w:highlight w:val="none"/>
        </w:rPr>
      </w:pPr>
      <w:r>
        <w:rPr>
          <w:rFonts w:hint="eastAsia" w:ascii="宋体" w:hAnsi="宋体" w:eastAsia="宋体" w:cs="宋体"/>
          <w:color w:val="000000"/>
          <w:highlight w:val="none"/>
        </w:rPr>
        <w:t>    如果本项目申请人的特定资格要求中要求提供的，必须提供。</w:t>
      </w:r>
    </w:p>
    <w:p w14:paraId="4F82CDD6">
      <w:pPr>
        <w:pStyle w:val="14"/>
        <w:spacing w:beforeAutospacing="0" w:afterAutospacing="0" w:line="0" w:lineRule="atLeast"/>
        <w:jc w:val="both"/>
        <w:rPr>
          <w:highlight w:val="none"/>
        </w:rPr>
      </w:pPr>
      <w:r>
        <w:rPr>
          <w:highlight w:val="none"/>
        </w:rPr>
        <w:t> </w:t>
      </w:r>
    </w:p>
    <w:p w14:paraId="18734FE7">
      <w:pPr>
        <w:pStyle w:val="14"/>
        <w:spacing w:beforeAutospacing="0" w:afterAutospacing="0"/>
        <w:jc w:val="center"/>
        <w:rPr>
          <w:rFonts w:ascii="黑体" w:hAnsi="宋体" w:eastAsia="黑体" w:cs="黑体"/>
          <w:i/>
          <w:color w:val="000000"/>
          <w:sz w:val="32"/>
          <w:szCs w:val="32"/>
          <w:highlight w:val="none"/>
          <w:u w:val="single"/>
        </w:rPr>
      </w:pPr>
    </w:p>
    <w:p w14:paraId="3819BF7B">
      <w:pPr>
        <w:pStyle w:val="14"/>
        <w:spacing w:beforeAutospacing="0" w:afterAutospacing="0"/>
        <w:jc w:val="center"/>
        <w:rPr>
          <w:rFonts w:ascii="黑体" w:hAnsi="宋体" w:eastAsia="黑体" w:cs="黑体"/>
          <w:i/>
          <w:color w:val="000000"/>
          <w:sz w:val="32"/>
          <w:szCs w:val="32"/>
          <w:highlight w:val="none"/>
          <w:u w:val="single"/>
        </w:rPr>
      </w:pPr>
    </w:p>
    <w:p w14:paraId="24A61D77">
      <w:pPr>
        <w:pStyle w:val="14"/>
        <w:spacing w:beforeAutospacing="0" w:afterAutospacing="0"/>
        <w:jc w:val="center"/>
        <w:rPr>
          <w:rFonts w:ascii="黑体" w:hAnsi="宋体" w:eastAsia="黑体" w:cs="黑体"/>
          <w:i/>
          <w:color w:val="000000"/>
          <w:sz w:val="32"/>
          <w:szCs w:val="32"/>
          <w:highlight w:val="none"/>
          <w:u w:val="single"/>
        </w:rPr>
      </w:pPr>
    </w:p>
    <w:p w14:paraId="429D58A5">
      <w:pPr>
        <w:pStyle w:val="14"/>
        <w:spacing w:beforeAutospacing="0" w:afterAutospacing="0"/>
        <w:jc w:val="center"/>
        <w:rPr>
          <w:highlight w:val="none"/>
        </w:rPr>
      </w:pPr>
      <w:r>
        <w:rPr>
          <w:rFonts w:hint="eastAsia" w:ascii="黑体" w:hAnsi="宋体" w:eastAsia="黑体" w:cs="黑体"/>
          <w:i/>
          <w:color w:val="000000"/>
          <w:sz w:val="32"/>
          <w:szCs w:val="32"/>
          <w:highlight w:val="none"/>
          <w:u w:val="single"/>
        </w:rPr>
        <w:t>七、法人授权书</w:t>
      </w:r>
    </w:p>
    <w:p w14:paraId="75371E96">
      <w:pPr>
        <w:pStyle w:val="14"/>
        <w:tabs>
          <w:tab w:val="left" w:pos="360"/>
        </w:tabs>
        <w:spacing w:beforeAutospacing="0" w:afterAutospacing="0"/>
        <w:ind w:firstLine="480"/>
        <w:jc w:val="both"/>
        <w:rPr>
          <w:highlight w:val="none"/>
        </w:rPr>
      </w:pPr>
      <w:r>
        <w:rPr>
          <w:rFonts w:ascii="Times New Roman" w:hAnsi="Times New Roman"/>
          <w:color w:val="000000"/>
          <w:highlight w:val="none"/>
        </w:rPr>
        <w:t>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号项目采购活动的合法代理人，以本单位名义全权处理一切与该项目采购有关的事务。</w:t>
      </w:r>
    </w:p>
    <w:p w14:paraId="3AC9EC25">
      <w:pPr>
        <w:pStyle w:val="14"/>
        <w:tabs>
          <w:tab w:val="left" w:pos="360"/>
        </w:tabs>
        <w:spacing w:beforeAutospacing="0" w:afterAutospacing="0"/>
        <w:ind w:firstLine="480"/>
        <w:jc w:val="both"/>
        <w:rPr>
          <w:highlight w:val="none"/>
        </w:rPr>
      </w:pPr>
      <w:r>
        <w:rPr>
          <w:rFonts w:ascii="Times New Roman" w:hAnsi="Times New Roman"/>
          <w:color w:val="000000"/>
          <w:highlight w:val="none"/>
        </w:rPr>
        <w:t>本授权书于______年____月____日起生效，特此声明。</w:t>
      </w:r>
    </w:p>
    <w:p w14:paraId="2DC53DE8">
      <w:pPr>
        <w:pStyle w:val="14"/>
        <w:tabs>
          <w:tab w:val="left" w:pos="360"/>
        </w:tabs>
        <w:spacing w:beforeAutospacing="0" w:afterAutospacing="0"/>
        <w:jc w:val="both"/>
        <w:rPr>
          <w:highlight w:val="none"/>
        </w:rPr>
      </w:pPr>
      <w:r>
        <w:rPr>
          <w:rFonts w:ascii="Times New Roman" w:hAnsi="Times New Roman"/>
          <w:color w:val="000000"/>
          <w:highlight w:val="none"/>
        </w:rPr>
        <w:t>          被授权人身份证号码：</w:t>
      </w:r>
      <w:r>
        <w:rPr>
          <w:rFonts w:ascii="Times New Roman" w:hAnsi="Times New Roman"/>
          <w:color w:val="000000"/>
          <w:highlight w:val="none"/>
          <w:u w:val="single"/>
        </w:rPr>
        <w:t xml:space="preserve">                              </w:t>
      </w:r>
    </w:p>
    <w:p w14:paraId="75D0F0B5">
      <w:pPr>
        <w:pStyle w:val="14"/>
        <w:tabs>
          <w:tab w:val="left" w:pos="360"/>
        </w:tabs>
        <w:spacing w:beforeAutospacing="0" w:afterAutospacing="0"/>
        <w:jc w:val="both"/>
        <w:rPr>
          <w:highlight w:val="none"/>
        </w:rPr>
      </w:pPr>
      <w:r>
        <w:rPr>
          <w:rFonts w:ascii="Times New Roman" w:hAnsi="Times New Roman"/>
          <w:color w:val="000000"/>
          <w:highlight w:val="none"/>
        </w:rPr>
        <w:t>          被授权人联系电话：（手机）</w:t>
      </w:r>
      <w:r>
        <w:rPr>
          <w:rFonts w:ascii="Times New Roman" w:hAnsi="Times New Roman"/>
          <w:color w:val="000000"/>
          <w:highlight w:val="none"/>
          <w:u w:val="single"/>
        </w:rPr>
        <w:t xml:space="preserve">                          </w:t>
      </w:r>
    </w:p>
    <w:p w14:paraId="4FE26A2D">
      <w:pPr>
        <w:pStyle w:val="14"/>
        <w:tabs>
          <w:tab w:val="left" w:pos="360"/>
        </w:tabs>
        <w:spacing w:beforeAutospacing="0" w:afterAutospacing="0"/>
        <w:ind w:firstLine="1200"/>
        <w:jc w:val="both"/>
        <w:rPr>
          <w:highlight w:val="none"/>
        </w:rPr>
      </w:pPr>
      <w:r>
        <w:rPr>
          <w:rFonts w:ascii="Times New Roman" w:hAnsi="Times New Roman"/>
          <w:color w:val="000000"/>
          <w:highlight w:val="none"/>
        </w:rPr>
        <w:t>授权单位名称：</w:t>
      </w:r>
      <w:r>
        <w:rPr>
          <w:rFonts w:ascii="Times New Roman" w:hAnsi="Times New Roman"/>
          <w:color w:val="000000"/>
          <w:highlight w:val="none"/>
          <w:u w:val="single"/>
        </w:rPr>
        <w:t>（加盖CA电子公章）</w:t>
      </w:r>
    </w:p>
    <w:p w14:paraId="659A81C5">
      <w:pPr>
        <w:pStyle w:val="14"/>
        <w:tabs>
          <w:tab w:val="left" w:pos="360"/>
        </w:tabs>
        <w:spacing w:beforeAutospacing="0" w:afterAutospacing="0"/>
        <w:ind w:firstLine="480"/>
        <w:jc w:val="both"/>
        <w:rPr>
          <w:highlight w:val="none"/>
        </w:rPr>
      </w:pPr>
      <w:r>
        <w:rPr>
          <w:rFonts w:ascii="Times New Roman" w:hAnsi="Times New Roman"/>
          <w:color w:val="000000"/>
          <w:highlight w:val="none"/>
        </w:rPr>
        <w:t>      单位地址：</w:t>
      </w:r>
      <w:r>
        <w:rPr>
          <w:rFonts w:ascii="Times New Roman" w:hAnsi="Times New Roman"/>
          <w:color w:val="000000"/>
          <w:highlight w:val="none"/>
          <w:u w:val="single"/>
        </w:rPr>
        <w:t xml:space="preserve">                                         </w:t>
      </w:r>
    </w:p>
    <w:p w14:paraId="747B88F2">
      <w:pPr>
        <w:pStyle w:val="14"/>
        <w:tabs>
          <w:tab w:val="left" w:pos="360"/>
        </w:tabs>
        <w:spacing w:beforeAutospacing="0" w:afterAutospacing="0"/>
        <w:ind w:firstLine="480"/>
        <w:jc w:val="both"/>
        <w:rPr>
          <w:highlight w:val="none"/>
        </w:rPr>
      </w:pPr>
      <w:r>
        <w:rPr>
          <w:rFonts w:ascii="Times New Roman" w:hAnsi="Times New Roman"/>
          <w:color w:val="000000"/>
          <w:highlight w:val="none"/>
        </w:rPr>
        <w:t>      日期：</w:t>
      </w:r>
      <w:bookmarkStart w:id="190" w:name="_格式3__银行出具的资信证明"/>
      <w:bookmarkStart w:id="191" w:name="_Hlt26955070"/>
      <w:bookmarkStart w:id="192" w:name="_Hlt26671380"/>
      <w:r>
        <w:rPr>
          <w:rFonts w:ascii="Times New Roman" w:hAnsi="Times New Roman"/>
          <w:color w:val="000000"/>
          <w:highlight w:val="none"/>
          <w:u w:val="single"/>
        </w:rPr>
        <w:t xml:space="preserve">                                         </w:t>
      </w:r>
    </w:p>
    <w:p w14:paraId="4434C07B">
      <w:pPr>
        <w:pStyle w:val="14"/>
        <w:spacing w:beforeAutospacing="0" w:afterAutospacing="0"/>
        <w:ind w:firstLine="420"/>
        <w:jc w:val="both"/>
        <w:rPr>
          <w:highlight w:val="none"/>
        </w:rPr>
      </w:pPr>
      <w:r>
        <w:rPr>
          <w:highlight w:val="none"/>
        </w:rPr>
        <w:t> </w:t>
      </w:r>
    </w:p>
    <w:p w14:paraId="5344B64A">
      <w:pPr>
        <w:pStyle w:val="14"/>
        <w:spacing w:beforeAutospacing="0" w:afterAutospacing="0"/>
        <w:ind w:firstLine="420"/>
        <w:jc w:val="both"/>
        <w:rPr>
          <w:highlight w:val="none"/>
        </w:rPr>
      </w:pPr>
    </w:p>
    <w:p w14:paraId="6F93841F">
      <w:pPr>
        <w:pStyle w:val="14"/>
        <w:spacing w:beforeAutospacing="0" w:afterAutospacing="0"/>
        <w:ind w:firstLine="420"/>
        <w:jc w:val="both"/>
        <w:rPr>
          <w:highlight w:val="none"/>
        </w:rPr>
      </w:pPr>
      <w:r>
        <w:rPr>
          <w:rFonts w:ascii="宋体" w:hAnsi="宋体" w:eastAsia="宋体" w:cs="宋体"/>
          <w:color w:val="000000"/>
          <w:sz w:val="24"/>
        </w:rPr>
        <w:t>法定代表人及被授权人身份证正反面：</w:t>
      </w:r>
    </w:p>
    <w:p w14:paraId="54380AE8">
      <w:pPr>
        <w:pStyle w:val="14"/>
        <w:spacing w:beforeAutospacing="0" w:afterAutospacing="0"/>
        <w:jc w:val="both"/>
        <w:rPr>
          <w:highlight w:val="none"/>
        </w:rPr>
      </w:pPr>
      <w:r>
        <w:rPr>
          <w:highlight w:val="none"/>
        </w:rPr>
        <w:t> </w:t>
      </w:r>
    </w:p>
    <w:p w14:paraId="35C87C39">
      <w:pPr>
        <w:pStyle w:val="14"/>
        <w:spacing w:beforeAutospacing="0" w:afterAutospacing="0" w:line="0" w:lineRule="atLeast"/>
        <w:jc w:val="both"/>
        <w:rPr>
          <w:highlight w:val="none"/>
        </w:rPr>
      </w:pPr>
      <w:r>
        <w:rPr>
          <w:highlight w:val="none"/>
        </w:rPr>
        <w:t> </w:t>
      </w:r>
    </w:p>
    <w:p w14:paraId="5317642F">
      <w:pPr>
        <w:pStyle w:val="14"/>
        <w:spacing w:beforeAutospacing="0" w:afterAutospacing="0" w:line="0" w:lineRule="atLeas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w:t>
      </w:r>
    </w:p>
    <w:p w14:paraId="56E61D5E">
      <w:pPr>
        <w:pStyle w:val="14"/>
        <w:spacing w:beforeAutospacing="0" w:afterAutospacing="0" w:line="0" w:lineRule="atLeas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w:t>
      </w:r>
    </w:p>
    <w:p w14:paraId="4937D57C">
      <w:pPr>
        <w:pStyle w:val="14"/>
        <w:spacing w:beforeAutospacing="0" w:afterAutospacing="0" w:line="0" w:lineRule="atLeast"/>
        <w:jc w:val="both"/>
        <w:rPr>
          <w:highlight w:val="none"/>
        </w:rPr>
      </w:pPr>
      <w:r>
        <w:rPr>
          <w:highlight w:val="none"/>
        </w:rPr>
        <w:t> </w:t>
      </w:r>
    </w:p>
    <w:p w14:paraId="0F02C396">
      <w:pPr>
        <w:pStyle w:val="14"/>
        <w:keepNext/>
        <w:keepLines/>
        <w:spacing w:before="260" w:beforeAutospacing="0" w:after="260" w:afterAutospacing="0" w:line="415" w:lineRule="auto"/>
        <w:ind w:firstLine="3390"/>
        <w:jc w:val="both"/>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r>
      <w:r>
        <w:rPr>
          <w:rFonts w:hint="eastAsia" w:ascii="黑体" w:hAnsi="宋体" w:eastAsia="黑体" w:cs="黑体"/>
          <w:b/>
          <w:color w:val="000000"/>
          <w:sz w:val="32"/>
          <w:szCs w:val="32"/>
          <w:highlight w:val="none"/>
        </w:rPr>
        <w:t> </w:t>
      </w:r>
      <w:r>
        <w:rPr>
          <w:rFonts w:hint="eastAsia" w:ascii="黑体" w:hAnsi="宋体" w:eastAsia="黑体" w:cs="黑体"/>
          <w:b/>
          <w:color w:val="000000"/>
          <w:sz w:val="32"/>
          <w:szCs w:val="32"/>
          <w:highlight w:val="none"/>
          <w:lang w:eastAsia="zh-CN"/>
        </w:rPr>
        <w:t>八</w:t>
      </w:r>
      <w:r>
        <w:rPr>
          <w:rFonts w:hint="eastAsia" w:ascii="黑体" w:hAnsi="宋体" w:eastAsia="黑体" w:cs="黑体"/>
          <w:b/>
          <w:color w:val="000000"/>
          <w:sz w:val="32"/>
          <w:szCs w:val="32"/>
          <w:highlight w:val="none"/>
        </w:rPr>
        <w:t>、投标函</w:t>
      </w:r>
    </w:p>
    <w:p w14:paraId="26D1CCB0">
      <w:pPr>
        <w:pStyle w:val="14"/>
        <w:spacing w:beforeAutospacing="0" w:afterAutospacing="0" w:line="0" w:lineRule="atLeast"/>
        <w:rPr>
          <w:rFonts w:hint="default" w:eastAsia="宋体"/>
          <w:highlight w:val="none"/>
          <w:lang w:val="en-US" w:eastAsia="zh-CN"/>
        </w:rPr>
      </w:pPr>
      <w:r>
        <w:rPr>
          <w:rFonts w:hint="eastAsia" w:ascii="宋体" w:hAnsi="宋体" w:eastAsia="宋体" w:cs="宋体"/>
          <w:color w:val="000000"/>
          <w:highlight w:val="none"/>
        </w:rPr>
        <w:t>致：</w:t>
      </w:r>
      <w:r>
        <w:rPr>
          <w:rFonts w:hint="eastAsia" w:ascii="宋体" w:hAnsi="宋体" w:eastAsia="宋体" w:cs="宋体"/>
          <w:color w:val="000000"/>
          <w:highlight w:val="none"/>
          <w:u w:val="single"/>
          <w:lang w:val="en-US" w:eastAsia="zh-CN"/>
        </w:rPr>
        <w:t xml:space="preserve">           </w:t>
      </w:r>
      <w:r>
        <w:rPr>
          <w:rFonts w:ascii="Times New Roman" w:hAnsi="Times New Roman"/>
          <w:kern w:val="2"/>
          <w:u w:val="single"/>
        </w:rPr>
        <w:t xml:space="preserve"> (采购人名称)</w:t>
      </w:r>
    </w:p>
    <w:p w14:paraId="2DE50441">
      <w:pPr>
        <w:pStyle w:val="14"/>
        <w:spacing w:beforeAutospacing="0" w:afterAutospacing="0" w:line="0" w:lineRule="atLeast"/>
        <w:ind w:firstLine="480"/>
        <w:rPr>
          <w:highlight w:val="none"/>
        </w:rPr>
      </w:pPr>
      <w:r>
        <w:rPr>
          <w:rFonts w:hint="eastAsia" w:ascii="宋体" w:hAnsi="宋体" w:eastAsia="宋体" w:cs="宋体"/>
          <w:color w:val="000000"/>
          <w:highlight w:val="none"/>
        </w:rPr>
        <w:t>根据贵方的JSZC-***号招标文件，正式授权下述签字人______(姓名)代表我方______________（投标人的名称），全权处理本次项目投标的有关事宜。</w:t>
      </w:r>
    </w:p>
    <w:p w14:paraId="64F87FD4">
      <w:pPr>
        <w:pStyle w:val="14"/>
        <w:spacing w:beforeAutospacing="0" w:afterAutospacing="0" w:line="0" w:lineRule="atLeast"/>
        <w:ind w:firstLine="480"/>
        <w:rPr>
          <w:highlight w:val="none"/>
        </w:rPr>
      </w:pPr>
      <w:r>
        <w:rPr>
          <w:rFonts w:hint="eastAsia" w:ascii="宋体" w:hAnsi="宋体" w:eastAsia="宋体" w:cs="宋体"/>
          <w:color w:val="000000"/>
          <w:highlight w:val="none"/>
        </w:rPr>
        <w:t>据此函，__________签字人兹宣布同意如下：</w:t>
      </w:r>
    </w:p>
    <w:p w14:paraId="313F2607">
      <w:pPr>
        <w:pStyle w:val="14"/>
        <w:spacing w:beforeAutospacing="0" w:afterAutospacing="0" w:line="0" w:lineRule="atLeast"/>
        <w:ind w:firstLine="480"/>
        <w:rPr>
          <w:highlight w:val="none"/>
        </w:rPr>
      </w:pPr>
      <w:r>
        <w:rPr>
          <w:rFonts w:hint="eastAsia" w:ascii="宋体" w:hAnsi="宋体" w:eastAsia="宋体" w:cs="宋体"/>
          <w:color w:val="000000"/>
          <w:highlight w:val="none"/>
        </w:rPr>
        <w:t>1.按招标文件规定的各项要求，向买方提供所需服务（包含与服务相关的货物）。</w:t>
      </w:r>
    </w:p>
    <w:p w14:paraId="473EF1FB">
      <w:pPr>
        <w:pStyle w:val="14"/>
        <w:spacing w:beforeAutospacing="0" w:afterAutospacing="0" w:line="0" w:lineRule="atLeast"/>
        <w:ind w:firstLine="480"/>
        <w:rPr>
          <w:highlight w:val="none"/>
        </w:rPr>
      </w:pPr>
      <w:r>
        <w:rPr>
          <w:rFonts w:hint="eastAsia" w:ascii="宋体" w:hAnsi="宋体" w:eastAsia="宋体" w:cs="宋体"/>
          <w:color w:val="000000"/>
          <w:highlight w:val="none"/>
        </w:rPr>
        <w:t>2.我们完全理解贵方不一定将合同授予最低报价的投标人。</w:t>
      </w:r>
    </w:p>
    <w:p w14:paraId="58062D8A">
      <w:pPr>
        <w:pStyle w:val="14"/>
        <w:spacing w:beforeAutospacing="0" w:afterAutospacing="0" w:line="0" w:lineRule="atLeast"/>
        <w:ind w:firstLine="480"/>
        <w:rPr>
          <w:highlight w:val="none"/>
        </w:rPr>
      </w:pPr>
      <w:r>
        <w:rPr>
          <w:rFonts w:hint="eastAsia" w:ascii="宋体" w:hAnsi="宋体" w:eastAsia="宋体" w:cs="宋体"/>
          <w:color w:val="000000"/>
          <w:highlight w:val="none"/>
        </w:rPr>
        <w:t>3.我们已详细审核全部招标文件及其有效补充文件，我们知道必须放弃提出含糊不清或误解问题的权利。</w:t>
      </w:r>
    </w:p>
    <w:p w14:paraId="08CB0CD4">
      <w:pPr>
        <w:pStyle w:val="14"/>
        <w:spacing w:beforeAutospacing="0" w:afterAutospacing="0" w:line="0" w:lineRule="atLeast"/>
        <w:ind w:firstLine="480"/>
        <w:rPr>
          <w:highlight w:val="none"/>
        </w:rPr>
      </w:pPr>
      <w:r>
        <w:rPr>
          <w:rFonts w:hint="eastAsia" w:ascii="宋体" w:hAnsi="宋体" w:eastAsia="宋体" w:cs="宋体"/>
          <w:color w:val="000000"/>
          <w:highlight w:val="none"/>
        </w:rPr>
        <w:t>4.我们同意从规定的开标日期起遵循本投标文件，并在规定的投标有效期期满之前均具有约束力。</w:t>
      </w:r>
    </w:p>
    <w:p w14:paraId="209DD427">
      <w:pPr>
        <w:pStyle w:val="14"/>
        <w:spacing w:beforeAutospacing="0" w:afterAutospacing="0" w:line="0" w:lineRule="atLeast"/>
        <w:ind w:firstLine="480"/>
        <w:rPr>
          <w:highlight w:val="none"/>
        </w:rPr>
      </w:pPr>
      <w:r>
        <w:rPr>
          <w:rFonts w:hint="eastAsia" w:ascii="宋体" w:hAnsi="宋体" w:eastAsia="宋体" w:cs="宋体"/>
          <w:color w:val="000000"/>
          <w:highlight w:val="none"/>
        </w:rPr>
        <w:t>5.同意向贵方提供贵方可能另外要求的与投标有关的任何证据或资料，并保证我方已提供和将要提供的文件是真实的、准确的。</w:t>
      </w:r>
    </w:p>
    <w:p w14:paraId="1F9BB1C3">
      <w:pPr>
        <w:pStyle w:val="14"/>
        <w:spacing w:beforeAutospacing="0" w:afterAutospacing="0" w:line="0" w:lineRule="atLeast"/>
        <w:ind w:firstLine="480"/>
        <w:rPr>
          <w:highlight w:val="none"/>
        </w:rPr>
      </w:pPr>
      <w:r>
        <w:rPr>
          <w:rFonts w:hint="eastAsia" w:ascii="宋体" w:hAnsi="宋体" w:eastAsia="宋体" w:cs="宋体"/>
          <w:color w:val="000000"/>
          <w:highlight w:val="none"/>
        </w:rPr>
        <w:t>6.一旦我方中标,我方将根据招标文件的规定，严格履行合同的责任和义务,并保证在招标文件规定的时间完成项目，交付买方验收、使用。</w:t>
      </w:r>
    </w:p>
    <w:p w14:paraId="33641869">
      <w:pPr>
        <w:pStyle w:val="14"/>
        <w:spacing w:beforeAutospacing="0" w:afterAutospacing="0" w:line="0" w:lineRule="atLeast"/>
        <w:ind w:firstLine="480"/>
        <w:rPr>
          <w:highlight w:val="none"/>
        </w:rPr>
      </w:pPr>
      <w:r>
        <w:rPr>
          <w:rFonts w:hint="eastAsia" w:ascii="宋体" w:hAnsi="宋体" w:eastAsia="宋体" w:cs="宋体"/>
          <w:color w:val="000000"/>
          <w:highlight w:val="none"/>
        </w:rPr>
        <w:t>7.与本投标有关的正式通讯地址为：</w:t>
      </w:r>
    </w:p>
    <w:p w14:paraId="63F512FF">
      <w:pPr>
        <w:pStyle w:val="14"/>
        <w:spacing w:beforeAutospacing="0" w:afterAutospacing="0" w:line="0" w:lineRule="atLeast"/>
        <w:ind w:left="420" w:firstLine="480"/>
        <w:rPr>
          <w:highlight w:val="none"/>
        </w:rPr>
      </w:pPr>
      <w:r>
        <w:rPr>
          <w:rFonts w:hint="eastAsia" w:ascii="宋体" w:hAnsi="宋体" w:eastAsia="宋体" w:cs="宋体"/>
          <w:color w:val="000000"/>
          <w:highlight w:val="none"/>
        </w:rPr>
        <w:t>地          址：</w:t>
      </w:r>
    </w:p>
    <w:p w14:paraId="40615D05">
      <w:pPr>
        <w:pStyle w:val="14"/>
        <w:spacing w:beforeAutospacing="0" w:afterAutospacing="0" w:line="0" w:lineRule="atLeast"/>
        <w:ind w:left="420" w:firstLine="480"/>
        <w:rPr>
          <w:highlight w:val="none"/>
        </w:rPr>
      </w:pPr>
      <w:r>
        <w:rPr>
          <w:rFonts w:hint="eastAsia" w:ascii="宋体" w:hAnsi="宋体" w:eastAsia="宋体" w:cs="宋体"/>
          <w:color w:val="000000"/>
          <w:highlight w:val="none"/>
        </w:rPr>
        <w:t>邮          编：</w:t>
      </w:r>
    </w:p>
    <w:p w14:paraId="6828345E">
      <w:pPr>
        <w:pStyle w:val="14"/>
        <w:spacing w:beforeAutospacing="0" w:afterAutospacing="0" w:line="0" w:lineRule="atLeast"/>
        <w:ind w:left="420" w:firstLine="480"/>
        <w:rPr>
          <w:highlight w:val="none"/>
        </w:rPr>
      </w:pPr>
      <w:r>
        <w:rPr>
          <w:rFonts w:hint="eastAsia" w:ascii="宋体" w:hAnsi="宋体" w:eastAsia="宋体" w:cs="宋体"/>
          <w:color w:val="000000"/>
          <w:highlight w:val="none"/>
        </w:rPr>
        <w:t>电          话：</w:t>
      </w:r>
    </w:p>
    <w:p w14:paraId="3AB5B37A">
      <w:pPr>
        <w:pStyle w:val="14"/>
        <w:spacing w:beforeAutospacing="0" w:afterAutospacing="0" w:line="0" w:lineRule="atLeast"/>
        <w:ind w:left="420" w:firstLine="480"/>
        <w:rPr>
          <w:highlight w:val="none"/>
        </w:rPr>
      </w:pPr>
      <w:r>
        <w:rPr>
          <w:rFonts w:hint="eastAsia" w:ascii="宋体" w:hAnsi="宋体" w:eastAsia="宋体" w:cs="宋体"/>
          <w:color w:val="000000"/>
          <w:highlight w:val="none"/>
        </w:rPr>
        <w:t>传          真：</w:t>
      </w:r>
    </w:p>
    <w:p w14:paraId="3DA45C60">
      <w:pPr>
        <w:pStyle w:val="14"/>
        <w:spacing w:beforeAutospacing="0" w:afterAutospacing="0" w:line="0" w:lineRule="atLeast"/>
        <w:ind w:left="420" w:firstLine="480"/>
        <w:rPr>
          <w:highlight w:val="none"/>
        </w:rPr>
      </w:pPr>
      <w:r>
        <w:rPr>
          <w:rFonts w:hint="eastAsia" w:ascii="宋体" w:hAnsi="宋体" w:eastAsia="宋体" w:cs="宋体"/>
          <w:color w:val="000000"/>
          <w:highlight w:val="none"/>
        </w:rPr>
        <w:t>投标人开户行：</w:t>
      </w:r>
    </w:p>
    <w:p w14:paraId="19B2C12A">
      <w:pPr>
        <w:pStyle w:val="14"/>
        <w:spacing w:beforeAutospacing="0" w:afterAutospacing="0" w:line="0" w:lineRule="atLeast"/>
        <w:ind w:left="420" w:firstLine="480"/>
        <w:rPr>
          <w:highlight w:val="none"/>
        </w:rPr>
      </w:pPr>
      <w:r>
        <w:rPr>
          <w:rFonts w:hint="eastAsia" w:ascii="宋体" w:hAnsi="宋体" w:eastAsia="宋体" w:cs="宋体"/>
          <w:color w:val="000000"/>
          <w:highlight w:val="none"/>
        </w:rPr>
        <w:t xml:space="preserve">账          号： </w:t>
      </w:r>
    </w:p>
    <w:p w14:paraId="4B904C99">
      <w:pPr>
        <w:pStyle w:val="14"/>
        <w:spacing w:beforeAutospacing="0" w:afterAutospacing="0" w:line="0" w:lineRule="atLeast"/>
        <w:ind w:left="420" w:firstLine="480"/>
        <w:rPr>
          <w:highlight w:val="none"/>
        </w:rPr>
      </w:pPr>
      <w:r>
        <w:rPr>
          <w:rFonts w:hint="eastAsia" w:ascii="宋体" w:hAnsi="宋体" w:eastAsia="宋体" w:cs="宋体"/>
          <w:color w:val="000000"/>
          <w:highlight w:val="none"/>
        </w:rPr>
        <w:t>日           期：________年____月____日</w:t>
      </w:r>
    </w:p>
    <w:p w14:paraId="517D30F4">
      <w:pPr>
        <w:pStyle w:val="14"/>
        <w:spacing w:beforeAutospacing="0" w:afterAutospacing="0" w:line="0" w:lineRule="atLeast"/>
        <w:ind w:firstLine="240"/>
        <w:jc w:val="center"/>
        <w:rPr>
          <w:highlight w:val="none"/>
        </w:rPr>
      </w:pPr>
      <w:r>
        <w:rPr>
          <w:highlight w:val="none"/>
        </w:rPr>
        <w:t> </w:t>
      </w:r>
    </w:p>
    <w:p w14:paraId="7D02EC5F">
      <w:pPr>
        <w:pStyle w:val="14"/>
        <w:spacing w:beforeAutospacing="0" w:afterAutospacing="0" w:line="0" w:lineRule="atLeast"/>
        <w:ind w:firstLine="240"/>
        <w:jc w:val="center"/>
        <w:rPr>
          <w:highlight w:val="none"/>
        </w:rPr>
      </w:pPr>
      <w:r>
        <w:rPr>
          <w:highlight w:val="none"/>
        </w:rPr>
        <w:t> </w:t>
      </w:r>
    </w:p>
    <w:p w14:paraId="526D8B48">
      <w:pPr>
        <w:pStyle w:val="14"/>
        <w:spacing w:beforeAutospacing="0" w:afterAutospacing="0" w:line="0" w:lineRule="atLeast"/>
        <w:ind w:firstLine="240"/>
        <w:jc w:val="center"/>
        <w:rPr>
          <w:highlight w:val="none"/>
        </w:rPr>
      </w:pPr>
      <w:r>
        <w:rPr>
          <w:highlight w:val="none"/>
        </w:rPr>
        <w:t> </w:t>
      </w:r>
    </w:p>
    <w:p w14:paraId="7D664580">
      <w:pPr>
        <w:pStyle w:val="14"/>
        <w:spacing w:beforeAutospacing="0" w:afterAutospacing="0" w:line="0" w:lineRule="atLeast"/>
        <w:ind w:firstLine="240"/>
        <w:jc w:val="center"/>
        <w:rPr>
          <w:highlight w:val="none"/>
        </w:rPr>
      </w:pPr>
      <w:r>
        <w:rPr>
          <w:highlight w:val="none"/>
        </w:rPr>
        <w:t> </w:t>
      </w:r>
    </w:p>
    <w:p w14:paraId="4CB43A27">
      <w:pPr>
        <w:pStyle w:val="14"/>
        <w:spacing w:beforeAutospacing="0" w:afterAutospacing="0" w:line="0" w:lineRule="atLeast"/>
        <w:ind w:firstLine="240"/>
        <w:jc w:val="center"/>
        <w:rPr>
          <w:highlight w:val="none"/>
        </w:rPr>
      </w:pPr>
      <w:r>
        <w:rPr>
          <w:highlight w:val="none"/>
        </w:rPr>
        <w:t> </w:t>
      </w:r>
    </w:p>
    <w:p w14:paraId="009E3C67">
      <w:pPr>
        <w:pStyle w:val="14"/>
        <w:spacing w:beforeAutospacing="0" w:afterAutospacing="0" w:line="0" w:lineRule="atLeast"/>
        <w:ind w:firstLine="240"/>
        <w:jc w:val="center"/>
        <w:rPr>
          <w:highlight w:val="none"/>
        </w:rPr>
      </w:pPr>
    </w:p>
    <w:p w14:paraId="076B6F71">
      <w:pPr>
        <w:pStyle w:val="14"/>
        <w:spacing w:beforeAutospacing="0" w:afterAutospacing="0" w:line="0" w:lineRule="atLeast"/>
        <w:ind w:firstLine="240"/>
        <w:jc w:val="center"/>
        <w:rPr>
          <w:highlight w:val="none"/>
        </w:rPr>
      </w:pPr>
    </w:p>
    <w:p w14:paraId="3827CC3B">
      <w:pPr>
        <w:pStyle w:val="14"/>
        <w:spacing w:beforeAutospacing="0" w:afterAutospacing="0" w:line="0" w:lineRule="atLeast"/>
        <w:ind w:firstLine="240"/>
        <w:jc w:val="center"/>
        <w:rPr>
          <w:highlight w:val="none"/>
        </w:rPr>
      </w:pPr>
    </w:p>
    <w:p w14:paraId="2B728E37">
      <w:pPr>
        <w:pStyle w:val="14"/>
        <w:spacing w:beforeAutospacing="0" w:afterAutospacing="0" w:line="0" w:lineRule="atLeast"/>
        <w:ind w:firstLine="240"/>
        <w:jc w:val="center"/>
        <w:rPr>
          <w:highlight w:val="none"/>
        </w:rPr>
      </w:pPr>
    </w:p>
    <w:p w14:paraId="4A16AAF8">
      <w:pPr>
        <w:pStyle w:val="14"/>
        <w:spacing w:beforeAutospacing="0" w:afterAutospacing="0" w:line="0" w:lineRule="atLeast"/>
        <w:ind w:firstLine="240"/>
        <w:jc w:val="center"/>
        <w:rPr>
          <w:highlight w:val="none"/>
        </w:rPr>
      </w:pPr>
    </w:p>
    <w:p w14:paraId="69A5DCA0">
      <w:pPr>
        <w:pStyle w:val="14"/>
        <w:spacing w:beforeAutospacing="0" w:afterAutospacing="0" w:line="0" w:lineRule="atLeast"/>
        <w:ind w:firstLine="240"/>
        <w:jc w:val="center"/>
        <w:rPr>
          <w:highlight w:val="none"/>
        </w:rPr>
      </w:pPr>
    </w:p>
    <w:p w14:paraId="0F79A881">
      <w:pPr>
        <w:pStyle w:val="14"/>
        <w:spacing w:beforeAutospacing="0" w:afterAutospacing="0" w:line="0" w:lineRule="atLeast"/>
        <w:ind w:firstLine="240"/>
        <w:jc w:val="center"/>
        <w:rPr>
          <w:highlight w:val="none"/>
        </w:rPr>
      </w:pPr>
    </w:p>
    <w:p w14:paraId="15EC5A70">
      <w:pPr>
        <w:pStyle w:val="14"/>
        <w:spacing w:beforeAutospacing="0" w:afterAutospacing="0" w:line="0" w:lineRule="atLeast"/>
        <w:ind w:firstLine="240"/>
        <w:jc w:val="center"/>
        <w:rPr>
          <w:highlight w:val="none"/>
        </w:rPr>
      </w:pPr>
    </w:p>
    <w:p w14:paraId="048221C4">
      <w:pPr>
        <w:pStyle w:val="14"/>
        <w:spacing w:beforeAutospacing="0" w:afterAutospacing="0" w:line="0" w:lineRule="atLeast"/>
        <w:ind w:firstLine="240"/>
        <w:jc w:val="center"/>
        <w:rPr>
          <w:highlight w:val="none"/>
        </w:rPr>
      </w:pPr>
    </w:p>
    <w:p w14:paraId="3802D699">
      <w:pPr>
        <w:pStyle w:val="14"/>
        <w:spacing w:beforeAutospacing="0" w:afterAutospacing="0" w:line="0" w:lineRule="atLeast"/>
        <w:ind w:firstLine="240"/>
        <w:jc w:val="center"/>
        <w:rPr>
          <w:highlight w:val="none"/>
        </w:rPr>
      </w:pPr>
    </w:p>
    <w:p w14:paraId="2B93E367">
      <w:pPr>
        <w:pStyle w:val="14"/>
        <w:spacing w:beforeAutospacing="0" w:afterAutospacing="0" w:line="0" w:lineRule="atLeast"/>
        <w:ind w:firstLine="240"/>
        <w:jc w:val="center"/>
        <w:rPr>
          <w:highlight w:val="none"/>
        </w:rPr>
      </w:pPr>
    </w:p>
    <w:p w14:paraId="757DE681">
      <w:pPr>
        <w:pStyle w:val="14"/>
        <w:spacing w:beforeAutospacing="0" w:afterAutospacing="0" w:line="0" w:lineRule="atLeast"/>
        <w:jc w:val="center"/>
        <w:rPr>
          <w:highlight w:val="none"/>
        </w:rPr>
      </w:pPr>
      <w:r>
        <w:rPr>
          <w:highlight w:val="none"/>
        </w:rPr>
        <w:t> </w:t>
      </w:r>
    </w:p>
    <w:p w14:paraId="6EEA39DB">
      <w:pPr>
        <w:pStyle w:val="14"/>
        <w:spacing w:beforeAutospacing="0" w:afterAutospacing="0" w:line="0" w:lineRule="atLeast"/>
        <w:jc w:val="center"/>
        <w:rPr>
          <w:rFonts w:hint="eastAsia" w:ascii="黑体" w:hAnsi="宋体" w:eastAsia="黑体" w:cs="黑体"/>
          <w:b/>
          <w:color w:val="auto"/>
          <w:sz w:val="32"/>
          <w:szCs w:val="32"/>
          <w:highlight w:val="none"/>
          <w:lang w:eastAsia="zh-CN"/>
        </w:rPr>
        <w:sectPr>
          <w:pgSz w:w="11906" w:h="16838"/>
          <w:pgMar w:top="1440" w:right="1800" w:bottom="1440" w:left="1800" w:header="851" w:footer="992" w:gutter="0"/>
          <w:pgNumType w:fmt="decimal"/>
          <w:cols w:space="425" w:num="1"/>
          <w:docGrid w:type="lines" w:linePitch="312" w:charSpace="0"/>
        </w:sectPr>
      </w:pPr>
    </w:p>
    <w:p w14:paraId="76E9D5C9">
      <w:pPr>
        <w:pStyle w:val="14"/>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lang w:eastAsia="zh-CN"/>
        </w:rPr>
        <w:t>九</w:t>
      </w:r>
      <w:r>
        <w:rPr>
          <w:rFonts w:hint="eastAsia" w:ascii="黑体" w:hAnsi="宋体" w:eastAsia="黑体" w:cs="黑体"/>
          <w:b/>
          <w:color w:val="auto"/>
          <w:sz w:val="32"/>
          <w:szCs w:val="32"/>
          <w:highlight w:val="none"/>
        </w:rPr>
        <w:t>、</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企业声明函（服务）（分包号：**）</w:t>
      </w:r>
    </w:p>
    <w:p w14:paraId="1DCF832C">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color w:val="auto"/>
          <w:sz w:val="24"/>
          <w:highlight w:val="none"/>
          <w:lang w:eastAsia="zh-CN"/>
        </w:rPr>
        <w:t>江苏省盐南高新技术产业开发区城市管理服务中心</w:t>
      </w:r>
      <w:r>
        <w:rPr>
          <w:rFonts w:hint="eastAsia"/>
          <w:color w:val="auto"/>
          <w:sz w:val="24"/>
          <w:highlight w:val="none"/>
        </w:rPr>
        <w:t>组织的</w:t>
      </w:r>
      <w:r>
        <w:rPr>
          <w:rFonts w:hint="eastAsia"/>
          <w:i/>
          <w:iCs/>
          <w:color w:val="auto"/>
          <w:sz w:val="24"/>
          <w:szCs w:val="24"/>
          <w:highlight w:val="none"/>
          <w:u w:val="single"/>
        </w:rPr>
        <w:t>（单位名称）</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32604D9A">
      <w:pPr>
        <w:numPr>
          <w:ilvl w:val="0"/>
          <w:numId w:val="4"/>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39DC9F7">
      <w:pPr>
        <w:numPr>
          <w:ilvl w:val="0"/>
          <w:numId w:val="4"/>
        </w:numPr>
        <w:spacing w:line="500" w:lineRule="exact"/>
        <w:ind w:left="0" w:leftChars="0" w:firstLine="480" w:firstLineChars="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68A76B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w:t>
      </w:r>
    </w:p>
    <w:p w14:paraId="34FA3AC3">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479C3C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0FE19C0D">
      <w:pPr>
        <w:pStyle w:val="14"/>
        <w:spacing w:beforeAutospacing="0" w:afterAutospacing="0" w:line="0" w:lineRule="atLeast"/>
        <w:ind w:right="720"/>
        <w:jc w:val="both"/>
        <w:rPr>
          <w:color w:val="auto"/>
          <w:highlight w:val="none"/>
        </w:rPr>
      </w:pPr>
      <w:r>
        <w:rPr>
          <w:color w:val="auto"/>
          <w:highlight w:val="none"/>
        </w:rPr>
        <w:t> </w:t>
      </w:r>
    </w:p>
    <w:p w14:paraId="6CD49601">
      <w:pPr>
        <w:pStyle w:val="14"/>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19405A62">
      <w:pPr>
        <w:pStyle w:val="14"/>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09B20EFD">
      <w:pPr>
        <w:pStyle w:val="14"/>
        <w:spacing w:beforeAutospacing="0" w:afterAutospacing="0" w:line="0" w:lineRule="atLeast"/>
        <w:ind w:firstLine="240"/>
        <w:jc w:val="both"/>
        <w:rPr>
          <w:color w:val="auto"/>
          <w:highlight w:val="none"/>
        </w:rPr>
      </w:pPr>
      <w:r>
        <w:rPr>
          <w:color w:val="auto"/>
          <w:highlight w:val="none"/>
        </w:rPr>
        <w:t> </w:t>
      </w:r>
    </w:p>
    <w:p w14:paraId="5FD8B9FE">
      <w:pPr>
        <w:pStyle w:val="14"/>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14"/>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3C438E2C">
      <w:pPr>
        <w:pStyle w:val="14"/>
        <w:spacing w:beforeAutospacing="0" w:afterAutospacing="0" w:line="0" w:lineRule="atLeast"/>
        <w:jc w:val="center"/>
        <w:rPr>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000000"/>
          <w:sz w:val="32"/>
          <w:szCs w:val="32"/>
          <w:highlight w:val="none"/>
        </w:rPr>
        <w:t> 十、残疾人福利性单位声明函（分包号：**）</w:t>
      </w:r>
    </w:p>
    <w:p w14:paraId="40AD2CD4">
      <w:pPr>
        <w:pStyle w:val="14"/>
        <w:spacing w:beforeAutospacing="0" w:afterAutospacing="0" w:line="0" w:lineRule="atLeast"/>
        <w:ind w:firstLine="480"/>
        <w:jc w:val="both"/>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〔2017〕141号</w:t>
      </w:r>
      <w:r>
        <w:rPr>
          <w:rFonts w:hint="eastAsia" w:ascii="宋体" w:hAnsi="宋体" w:eastAsia="宋体" w:cs="宋体"/>
          <w:color w:val="000000"/>
          <w:highlight w:val="none"/>
        </w:rPr>
        <w:t>）的规定，本单位为符合条件的残疾人福利性单位，且本单位参加______单位的采购文件编号为______的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项目（分包号：**）采购活动由本单位提供服务。</w:t>
      </w:r>
    </w:p>
    <w:p w14:paraId="7214428A">
      <w:pPr>
        <w:pStyle w:val="14"/>
        <w:spacing w:beforeAutospacing="0" w:afterAutospacing="0" w:line="0" w:lineRule="atLeast"/>
        <w:ind w:firstLine="480"/>
        <w:jc w:val="both"/>
        <w:rPr>
          <w:highlight w:val="none"/>
        </w:rPr>
      </w:pPr>
      <w:r>
        <w:rPr>
          <w:rFonts w:hint="eastAsia" w:ascii="宋体" w:hAnsi="宋体" w:eastAsia="宋体" w:cs="宋体"/>
          <w:color w:val="000000"/>
          <w:highlight w:val="none"/>
        </w:rPr>
        <w:t>本单位对上述声明的真实性负责。如有虚假，将依法承担相应责任。</w:t>
      </w:r>
    </w:p>
    <w:p w14:paraId="13451427">
      <w:pPr>
        <w:pStyle w:val="14"/>
        <w:spacing w:beforeAutospacing="0" w:afterAutospacing="0" w:line="0" w:lineRule="atLeast"/>
        <w:ind w:firstLine="480"/>
        <w:jc w:val="both"/>
        <w:rPr>
          <w:highlight w:val="none"/>
        </w:rPr>
      </w:pPr>
      <w:r>
        <w:rPr>
          <w:highlight w:val="none"/>
        </w:rPr>
        <w:t> </w:t>
      </w:r>
    </w:p>
    <w:p w14:paraId="2FAF371E">
      <w:pPr>
        <w:pStyle w:val="14"/>
        <w:spacing w:beforeAutospacing="0" w:afterAutospacing="0" w:line="0" w:lineRule="atLeast"/>
        <w:ind w:firstLine="480"/>
        <w:jc w:val="both"/>
        <w:rPr>
          <w:rFonts w:hint="eastAsia" w:eastAsia="宋体"/>
          <w:highlight w:val="none"/>
          <w:lang w:eastAsia="zh-CN"/>
        </w:rPr>
      </w:pPr>
      <w:r>
        <w:rPr>
          <w:rFonts w:hint="eastAsia" w:ascii="宋体" w:hAnsi="宋体" w:eastAsia="宋体" w:cs="宋体"/>
          <w:color w:val="000000"/>
          <w:highlight w:val="none"/>
        </w:rPr>
        <w:t>备注：1、供应商如不提供此声明函，价格将不做相应扣除</w:t>
      </w:r>
      <w:r>
        <w:rPr>
          <w:rFonts w:hint="eastAsia" w:ascii="宋体" w:hAnsi="宋体" w:eastAsia="宋体" w:cs="宋体"/>
          <w:color w:val="000000"/>
          <w:highlight w:val="none"/>
          <w:lang w:eastAsia="zh-CN"/>
        </w:rPr>
        <w:t>（如项目全面面向中小企业，则资格审查不通过）。</w:t>
      </w:r>
    </w:p>
    <w:p w14:paraId="29CEDC66">
      <w:pPr>
        <w:pStyle w:val="14"/>
        <w:spacing w:beforeAutospacing="0" w:afterAutospacing="0" w:line="0" w:lineRule="atLeast"/>
        <w:ind w:firstLine="480"/>
        <w:jc w:val="both"/>
        <w:rPr>
          <w:highlight w:val="none"/>
        </w:rPr>
      </w:pPr>
      <w:r>
        <w:rPr>
          <w:rFonts w:hint="eastAsia" w:ascii="宋体" w:hAnsi="宋体" w:eastAsia="宋体" w:cs="宋体"/>
          <w:color w:val="000000"/>
          <w:highlight w:val="none"/>
        </w:rPr>
        <w:t>2、中标人为残疾人福利单位的，此声明函将随中标结果同时公告，接受社会监督</w:t>
      </w:r>
    </w:p>
    <w:p w14:paraId="756ED4E7">
      <w:pPr>
        <w:pStyle w:val="14"/>
        <w:spacing w:beforeAutospacing="0" w:afterAutospacing="0" w:line="0" w:lineRule="atLeast"/>
        <w:ind w:firstLine="624"/>
        <w:jc w:val="both"/>
        <w:rPr>
          <w:highlight w:val="none"/>
        </w:rPr>
      </w:pPr>
      <w:r>
        <w:rPr>
          <w:highlight w:val="none"/>
        </w:rPr>
        <w:t> </w:t>
      </w:r>
    </w:p>
    <w:p w14:paraId="0A80BD48">
      <w:pPr>
        <w:pStyle w:val="14"/>
        <w:tabs>
          <w:tab w:val="left" w:pos="4864"/>
        </w:tabs>
        <w:spacing w:beforeAutospacing="0" w:afterAutospacing="0" w:line="0" w:lineRule="atLeast"/>
        <w:ind w:right="1560" w:firstLine="624"/>
        <w:jc w:val="center"/>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供应商全称（加盖CA电子公章）：</w:t>
      </w:r>
    </w:p>
    <w:p w14:paraId="26FB6E74">
      <w:pPr>
        <w:pStyle w:val="14"/>
        <w:tabs>
          <w:tab w:val="left" w:pos="4864"/>
        </w:tabs>
        <w:spacing w:beforeAutospacing="0" w:afterAutospacing="0" w:line="0" w:lineRule="atLeast"/>
        <w:ind w:right="1560" w:firstLine="480"/>
        <w:jc w:val="center"/>
        <w:rPr>
          <w:highlight w:val="none"/>
        </w:rPr>
      </w:pPr>
      <w:r>
        <w:rPr>
          <w:rFonts w:hint="eastAsia" w:ascii="宋体" w:hAnsi="宋体" w:eastAsia="宋体" w:cs="宋体"/>
          <w:color w:val="000000"/>
          <w:highlight w:val="none"/>
        </w:rPr>
        <w:t>        日  期：</w:t>
      </w:r>
    </w:p>
    <w:p w14:paraId="2B15E9CD">
      <w:pPr>
        <w:pStyle w:val="14"/>
        <w:spacing w:beforeAutospacing="0" w:afterAutospacing="0" w:line="0" w:lineRule="atLeast"/>
        <w:jc w:val="center"/>
        <w:rPr>
          <w:highlight w:val="none"/>
        </w:rPr>
      </w:pPr>
      <w:r>
        <w:rPr>
          <w:highlight w:val="none"/>
        </w:rPr>
        <w:t> </w:t>
      </w:r>
    </w:p>
    <w:p w14:paraId="5B4F30B6">
      <w:pPr>
        <w:pStyle w:val="14"/>
        <w:spacing w:beforeAutospacing="0" w:afterAutospacing="0" w:line="0" w:lineRule="atLeast"/>
        <w:jc w:val="center"/>
        <w:rPr>
          <w:highlight w:val="none"/>
        </w:rPr>
      </w:pPr>
      <w:r>
        <w:rPr>
          <w:highlight w:val="none"/>
        </w:rPr>
        <w:t> </w:t>
      </w:r>
    </w:p>
    <w:p w14:paraId="0BFA54F0">
      <w:pPr>
        <w:pStyle w:val="14"/>
        <w:spacing w:beforeAutospacing="0" w:afterAutospacing="0" w:line="0" w:lineRule="atLeast"/>
        <w:jc w:val="center"/>
        <w:rPr>
          <w:highlight w:val="none"/>
        </w:rPr>
      </w:pPr>
      <w:r>
        <w:rPr>
          <w:highlight w:val="none"/>
        </w:rPr>
        <w:t> </w:t>
      </w:r>
    </w:p>
    <w:p w14:paraId="23548FC4">
      <w:pPr>
        <w:pStyle w:val="14"/>
        <w:spacing w:beforeAutospacing="0" w:afterAutospacing="0" w:line="0" w:lineRule="atLeast"/>
        <w:jc w:val="center"/>
        <w:rPr>
          <w:highlight w:val="none"/>
        </w:rPr>
      </w:pPr>
      <w:r>
        <w:rPr>
          <w:highlight w:val="none"/>
        </w:rPr>
        <w:t> </w:t>
      </w:r>
    </w:p>
    <w:p w14:paraId="7CC18ADA">
      <w:pPr>
        <w:pStyle w:val="14"/>
        <w:spacing w:beforeAutospacing="0" w:afterAutospacing="0" w:line="0" w:lineRule="atLeast"/>
        <w:jc w:val="center"/>
        <w:rPr>
          <w:highlight w:val="none"/>
        </w:rPr>
      </w:pPr>
      <w:r>
        <w:rPr>
          <w:highlight w:val="none"/>
        </w:rPr>
        <w:t> </w:t>
      </w:r>
    </w:p>
    <w:p w14:paraId="3620AEDE">
      <w:pPr>
        <w:pStyle w:val="14"/>
        <w:spacing w:beforeAutospacing="0" w:afterAutospacing="0" w:line="0" w:lineRule="atLeast"/>
        <w:jc w:val="center"/>
        <w:rPr>
          <w:highlight w:val="none"/>
        </w:rPr>
      </w:pPr>
      <w:r>
        <w:rPr>
          <w:highlight w:val="none"/>
        </w:rPr>
        <w:t> </w:t>
      </w:r>
    </w:p>
    <w:p w14:paraId="45D5FEAA">
      <w:pPr>
        <w:pStyle w:val="14"/>
        <w:spacing w:beforeAutospacing="0" w:afterAutospacing="0" w:line="0" w:lineRule="atLeast"/>
        <w:jc w:val="center"/>
        <w:rPr>
          <w:highlight w:val="none"/>
        </w:rPr>
      </w:pPr>
      <w:r>
        <w:rPr>
          <w:highlight w:val="none"/>
        </w:rPr>
        <w:t> </w:t>
      </w:r>
    </w:p>
    <w:p w14:paraId="02551D98">
      <w:pPr>
        <w:pStyle w:val="14"/>
        <w:spacing w:beforeAutospacing="0" w:afterAutospacing="0" w:line="0" w:lineRule="atLeast"/>
        <w:jc w:val="center"/>
        <w:rPr>
          <w:highlight w:val="none"/>
        </w:rPr>
      </w:pPr>
      <w:r>
        <w:rPr>
          <w:highlight w:val="none"/>
        </w:rPr>
        <w:t> </w:t>
      </w:r>
    </w:p>
    <w:p w14:paraId="2E201E66">
      <w:pPr>
        <w:pStyle w:val="14"/>
        <w:spacing w:beforeAutospacing="0" w:afterAutospacing="0" w:line="0" w:lineRule="atLeast"/>
        <w:jc w:val="center"/>
        <w:rPr>
          <w:highlight w:val="none"/>
        </w:rPr>
      </w:pPr>
    </w:p>
    <w:p w14:paraId="26480510">
      <w:pPr>
        <w:pStyle w:val="14"/>
        <w:spacing w:beforeAutospacing="0" w:afterAutospacing="0" w:line="0" w:lineRule="atLeast"/>
        <w:jc w:val="center"/>
        <w:rPr>
          <w:highlight w:val="none"/>
        </w:rPr>
      </w:pPr>
    </w:p>
    <w:p w14:paraId="040A5ABB">
      <w:pPr>
        <w:pStyle w:val="14"/>
        <w:spacing w:beforeAutospacing="0" w:afterAutospacing="0" w:line="0" w:lineRule="atLeast"/>
        <w:jc w:val="center"/>
        <w:rPr>
          <w:highlight w:val="none"/>
        </w:rPr>
      </w:pPr>
    </w:p>
    <w:p w14:paraId="0E4F8989">
      <w:pPr>
        <w:pStyle w:val="14"/>
        <w:spacing w:beforeAutospacing="0" w:afterAutospacing="0" w:line="0" w:lineRule="atLeast"/>
        <w:jc w:val="center"/>
        <w:rPr>
          <w:highlight w:val="none"/>
        </w:rPr>
      </w:pPr>
    </w:p>
    <w:p w14:paraId="33B3D7CE">
      <w:pPr>
        <w:pStyle w:val="14"/>
        <w:spacing w:beforeAutospacing="0" w:afterAutospacing="0" w:line="0" w:lineRule="atLeast"/>
        <w:jc w:val="center"/>
        <w:rPr>
          <w:highlight w:val="none"/>
        </w:rPr>
      </w:pPr>
    </w:p>
    <w:p w14:paraId="47822C90">
      <w:pPr>
        <w:pStyle w:val="14"/>
        <w:spacing w:beforeAutospacing="0" w:afterAutospacing="0" w:line="0" w:lineRule="atLeast"/>
        <w:jc w:val="center"/>
        <w:rPr>
          <w:highlight w:val="none"/>
        </w:rPr>
      </w:pPr>
    </w:p>
    <w:p w14:paraId="09A39851">
      <w:pPr>
        <w:pStyle w:val="14"/>
        <w:spacing w:beforeAutospacing="0" w:afterAutospacing="0" w:line="0" w:lineRule="atLeast"/>
        <w:jc w:val="center"/>
        <w:rPr>
          <w:highlight w:val="none"/>
        </w:rPr>
      </w:pPr>
    </w:p>
    <w:p w14:paraId="7FD1136E">
      <w:pPr>
        <w:pStyle w:val="14"/>
        <w:spacing w:beforeAutospacing="0" w:afterAutospacing="0" w:line="0" w:lineRule="atLeast"/>
        <w:jc w:val="center"/>
        <w:rPr>
          <w:highlight w:val="none"/>
        </w:rPr>
      </w:pPr>
    </w:p>
    <w:p w14:paraId="5BEB7273">
      <w:pPr>
        <w:pStyle w:val="14"/>
        <w:spacing w:beforeAutospacing="0" w:afterAutospacing="0" w:line="0" w:lineRule="atLeast"/>
        <w:jc w:val="center"/>
        <w:rPr>
          <w:highlight w:val="none"/>
        </w:rPr>
      </w:pPr>
    </w:p>
    <w:p w14:paraId="033ACD42">
      <w:pPr>
        <w:pStyle w:val="14"/>
        <w:spacing w:beforeAutospacing="0" w:afterAutospacing="0" w:line="0" w:lineRule="atLeast"/>
        <w:jc w:val="center"/>
        <w:rPr>
          <w:highlight w:val="none"/>
        </w:rPr>
      </w:pPr>
    </w:p>
    <w:p w14:paraId="0E7A7A07">
      <w:pPr>
        <w:pStyle w:val="14"/>
        <w:spacing w:beforeAutospacing="0" w:afterAutospacing="0" w:line="0" w:lineRule="atLeast"/>
        <w:jc w:val="center"/>
        <w:rPr>
          <w:highlight w:val="none"/>
        </w:rPr>
      </w:pPr>
    </w:p>
    <w:p w14:paraId="290ED4BC">
      <w:pPr>
        <w:pStyle w:val="14"/>
        <w:spacing w:beforeAutospacing="0" w:afterAutospacing="0" w:line="0" w:lineRule="atLeast"/>
        <w:jc w:val="center"/>
        <w:rPr>
          <w:highlight w:val="none"/>
        </w:rPr>
      </w:pPr>
    </w:p>
    <w:p w14:paraId="2DE28D43">
      <w:pPr>
        <w:pStyle w:val="14"/>
        <w:spacing w:beforeAutospacing="0" w:afterAutospacing="0" w:line="0" w:lineRule="atLeast"/>
        <w:jc w:val="center"/>
        <w:rPr>
          <w:highlight w:val="none"/>
        </w:rPr>
      </w:pPr>
    </w:p>
    <w:p w14:paraId="4C188FB5">
      <w:pPr>
        <w:pStyle w:val="14"/>
        <w:spacing w:beforeAutospacing="0" w:afterAutospacing="0" w:line="0" w:lineRule="atLeast"/>
        <w:jc w:val="center"/>
        <w:rPr>
          <w:highlight w:val="none"/>
        </w:rPr>
      </w:pPr>
    </w:p>
    <w:p w14:paraId="44A213E5">
      <w:pPr>
        <w:pStyle w:val="14"/>
        <w:spacing w:beforeAutospacing="0" w:afterAutospacing="0" w:line="0" w:lineRule="atLeast"/>
        <w:jc w:val="center"/>
        <w:rPr>
          <w:highlight w:val="none"/>
        </w:rPr>
      </w:pPr>
    </w:p>
    <w:p w14:paraId="3B49ABBC">
      <w:pPr>
        <w:pStyle w:val="14"/>
        <w:spacing w:beforeAutospacing="0" w:afterAutospacing="0" w:line="0" w:lineRule="atLeast"/>
        <w:jc w:val="center"/>
        <w:rPr>
          <w:highlight w:val="none"/>
        </w:rPr>
      </w:pPr>
    </w:p>
    <w:p w14:paraId="6B3C584E">
      <w:pPr>
        <w:pStyle w:val="14"/>
        <w:spacing w:beforeAutospacing="0" w:afterAutospacing="0" w:line="0" w:lineRule="atLeast"/>
        <w:jc w:val="center"/>
        <w:rPr>
          <w:highlight w:val="none"/>
        </w:rPr>
      </w:pPr>
    </w:p>
    <w:p w14:paraId="61D08AC6">
      <w:pPr>
        <w:pStyle w:val="14"/>
        <w:spacing w:beforeAutospacing="0" w:afterAutospacing="0" w:line="0" w:lineRule="atLeast"/>
        <w:jc w:val="center"/>
        <w:rPr>
          <w:highlight w:val="none"/>
        </w:rPr>
      </w:pPr>
    </w:p>
    <w:p w14:paraId="0251136B">
      <w:pPr>
        <w:pStyle w:val="14"/>
        <w:spacing w:beforeAutospacing="0" w:afterAutospacing="0" w:line="0" w:lineRule="atLeast"/>
        <w:jc w:val="center"/>
        <w:rPr>
          <w:highlight w:val="none"/>
        </w:rPr>
      </w:pPr>
    </w:p>
    <w:p w14:paraId="2F312E3D">
      <w:pPr>
        <w:pStyle w:val="14"/>
        <w:spacing w:beforeAutospacing="0" w:afterAutospacing="0" w:line="0" w:lineRule="atLeast"/>
        <w:jc w:val="center"/>
        <w:rPr>
          <w:highlight w:val="none"/>
        </w:rPr>
      </w:pPr>
    </w:p>
    <w:p w14:paraId="42557233">
      <w:pPr>
        <w:pStyle w:val="14"/>
        <w:spacing w:beforeAutospacing="0" w:afterAutospacing="0" w:line="0" w:lineRule="atLeast"/>
        <w:jc w:val="center"/>
        <w:rPr>
          <w:highlight w:val="none"/>
        </w:rPr>
      </w:pPr>
      <w:r>
        <w:rPr>
          <w:highlight w:val="none"/>
        </w:rPr>
        <w:t> </w:t>
      </w:r>
    </w:p>
    <w:p w14:paraId="5915A32A">
      <w:pPr>
        <w:pStyle w:val="14"/>
        <w:spacing w:beforeAutospacing="0" w:afterAutospacing="0" w:line="0" w:lineRule="atLeast"/>
        <w:jc w:val="center"/>
        <w:rPr>
          <w:highlight w:val="none"/>
        </w:rPr>
      </w:pPr>
      <w:r>
        <w:rPr>
          <w:highlight w:val="none"/>
        </w:rPr>
        <w:t> </w:t>
      </w:r>
    </w:p>
    <w:p w14:paraId="23894C2A">
      <w:pPr>
        <w:pStyle w:val="14"/>
        <w:spacing w:beforeAutospacing="0" w:afterAutospacing="0" w:line="0" w:lineRule="atLeast"/>
        <w:jc w:val="center"/>
        <w:rPr>
          <w:highlight w:val="none"/>
        </w:rPr>
      </w:pPr>
      <w:r>
        <w:rPr>
          <w:highlight w:val="none"/>
        </w:rPr>
        <w:t> </w:t>
      </w:r>
    </w:p>
    <w:p w14:paraId="42A510D7">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b w:val="0"/>
          <w:bCs w:val="0"/>
          <w:color w:val="auto"/>
        </w:rPr>
      </w:pPr>
      <w:r>
        <w:rPr>
          <w:rFonts w:ascii="黑体" w:hAnsi="宋体" w:eastAsia="黑体" w:cs="黑体"/>
          <w:b w:val="0"/>
          <w:bCs w:val="0"/>
          <w:color w:val="auto"/>
          <w:sz w:val="32"/>
          <w:szCs w:val="32"/>
        </w:rPr>
        <w:t>十一、 关于符合本国产品标准的声明函（采购包号：**）</w:t>
      </w:r>
    </w:p>
    <w:p w14:paraId="44A0E514">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b w:val="0"/>
          <w:bCs w:val="0"/>
          <w:color w:val="auto"/>
        </w:rPr>
      </w:pPr>
      <w:r>
        <w:rPr>
          <w:rFonts w:ascii="Arial" w:hAnsi="Arial" w:cs="Arial"/>
          <w:b w:val="0"/>
          <w:bCs w:val="0"/>
          <w:color w:val="auto"/>
          <w:sz w:val="24"/>
          <w:szCs w:val="24"/>
        </w:rPr>
        <w:t> </w:t>
      </w:r>
    </w:p>
    <w:p w14:paraId="045DFD10">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b w:val="0"/>
          <w:bCs w:val="0"/>
          <w:color w:val="auto"/>
        </w:rPr>
      </w:pPr>
      <w:r>
        <w:rPr>
          <w:rFonts w:ascii="宋体" w:hAnsi="宋体" w:eastAsia="宋体" w:cs="宋体"/>
          <w:b w:val="0"/>
          <w:bCs w:val="0"/>
          <w:color w:val="auto"/>
          <w:sz w:val="24"/>
          <w:szCs w:val="24"/>
        </w:rPr>
        <w:t>本公司（单位）郑重声明，根据《国务院办公厅关于在政府采购中实施本国产品标准及相关政策的通知》（国办发〔2025〕34号）的规定，本公司（单位）提供的以下产品属于本国产品。具体情况如下：</w:t>
      </w:r>
    </w:p>
    <w:p w14:paraId="4E7A6EC1">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val="0"/>
          <w:bCs w:val="0"/>
          <w:color w:val="auto"/>
        </w:rPr>
      </w:pPr>
      <w:r>
        <w:rPr>
          <w:rFonts w:ascii="宋体" w:hAnsi="宋体" w:eastAsia="宋体" w:cs="宋体"/>
          <w:b w:val="0"/>
          <w:bCs w:val="0"/>
          <w:color w:val="auto"/>
          <w:sz w:val="24"/>
          <w:szCs w:val="24"/>
          <w:shd w:val="clear" w:fill="FFFFFF"/>
        </w:rPr>
        <w:t>1.</w:t>
      </w:r>
      <w:r>
        <w:rPr>
          <w:rFonts w:ascii="宋体" w:hAnsi="宋体" w:eastAsia="宋体" w:cs="宋体"/>
          <w:b w:val="0"/>
          <w:bCs w:val="0"/>
          <w:color w:val="auto"/>
          <w:sz w:val="24"/>
          <w:szCs w:val="24"/>
          <w:u w:val="single"/>
          <w:shd w:val="clear" w:fill="FFFFFF"/>
        </w:rPr>
        <w:t>（产品名称1）</w:t>
      </w:r>
      <w:r>
        <w:rPr>
          <w:rFonts w:ascii="宋体" w:hAnsi="宋体" w:eastAsia="宋体" w:cs="宋体"/>
          <w:b w:val="0"/>
          <w:bCs w:val="0"/>
          <w:color w:val="auto"/>
          <w:sz w:val="24"/>
          <w:szCs w:val="24"/>
          <w:shd w:val="clear" w:fill="FFFFFF"/>
          <w:vertAlign w:val="superscript"/>
        </w:rPr>
        <w:t>1</w:t>
      </w:r>
      <w:r>
        <w:rPr>
          <w:rFonts w:ascii="宋体" w:hAnsi="宋体" w:eastAsia="宋体" w:cs="宋体"/>
          <w:b w:val="0"/>
          <w:bCs w:val="0"/>
          <w:color w:val="auto"/>
          <w:sz w:val="24"/>
          <w:szCs w:val="24"/>
          <w:shd w:val="clear" w:fill="FFFFFF"/>
        </w:rPr>
        <w:t>，生产厂为</w:t>
      </w:r>
      <w:r>
        <w:rPr>
          <w:rFonts w:ascii="宋体" w:hAnsi="宋体" w:eastAsia="宋体" w:cs="宋体"/>
          <w:b w:val="0"/>
          <w:bCs w:val="0"/>
          <w:color w:val="auto"/>
          <w:sz w:val="24"/>
          <w:szCs w:val="24"/>
          <w:u w:val="single"/>
          <w:shd w:val="clear" w:fill="FFFFFF"/>
        </w:rPr>
        <w:t>（厂名）</w:t>
      </w:r>
      <w:r>
        <w:rPr>
          <w:rFonts w:ascii="宋体" w:hAnsi="宋体" w:eastAsia="宋体" w:cs="宋体"/>
          <w:b w:val="0"/>
          <w:bCs w:val="0"/>
          <w:color w:val="auto"/>
          <w:sz w:val="24"/>
          <w:szCs w:val="24"/>
          <w:shd w:val="clear" w:fill="FFFFFF"/>
          <w:vertAlign w:val="superscript"/>
        </w:rPr>
        <w:t>2</w:t>
      </w:r>
      <w:r>
        <w:rPr>
          <w:rFonts w:ascii="宋体" w:hAnsi="宋体" w:eastAsia="宋体" w:cs="宋体"/>
          <w:b w:val="0"/>
          <w:bCs w:val="0"/>
          <w:color w:val="auto"/>
          <w:sz w:val="24"/>
          <w:szCs w:val="24"/>
          <w:shd w:val="clear" w:fill="FFFFFF"/>
        </w:rPr>
        <w:t>，厂址为</w:t>
      </w:r>
      <w:r>
        <w:rPr>
          <w:rFonts w:ascii="宋体" w:hAnsi="宋体" w:eastAsia="宋体" w:cs="宋体"/>
          <w:b w:val="0"/>
          <w:bCs w:val="0"/>
          <w:color w:val="auto"/>
          <w:sz w:val="24"/>
          <w:szCs w:val="24"/>
          <w:u w:val="single"/>
          <w:shd w:val="clear" w:fill="FFFFFF"/>
        </w:rPr>
        <w:t>（生产厂址）</w:t>
      </w:r>
      <w:r>
        <w:rPr>
          <w:rFonts w:ascii="宋体" w:hAnsi="宋体" w:eastAsia="宋体" w:cs="宋体"/>
          <w:b w:val="0"/>
          <w:bCs w:val="0"/>
          <w:color w:val="auto"/>
          <w:sz w:val="24"/>
          <w:szCs w:val="24"/>
          <w:shd w:val="clear" w:fill="FFFFFF"/>
        </w:rPr>
        <w:t>。</w:t>
      </w:r>
      <w:r>
        <w:rPr>
          <w:rFonts w:ascii="宋体" w:hAnsi="宋体" w:eastAsia="宋体" w:cs="宋体"/>
          <w:b w:val="0"/>
          <w:bCs w:val="0"/>
          <w:strike/>
          <w:dstrike w:val="0"/>
          <w:color w:val="auto"/>
          <w:sz w:val="24"/>
          <w:szCs w:val="24"/>
          <w:u w:val="single"/>
          <w:shd w:val="clear" w:fill="FFFFFF"/>
        </w:rPr>
        <w:t> （产品名称1）</w:t>
      </w:r>
      <w:r>
        <w:rPr>
          <w:rFonts w:ascii="宋体" w:hAnsi="宋体" w:eastAsia="宋体" w:cs="宋体"/>
          <w:b w:val="0"/>
          <w:bCs w:val="0"/>
          <w:color w:val="auto"/>
          <w:sz w:val="24"/>
          <w:szCs w:val="24"/>
          <w:u w:val="single"/>
          <w:shd w:val="clear" w:fill="FFFFFF"/>
        </w:rPr>
        <w:t> </w:t>
      </w:r>
      <w:r>
        <w:rPr>
          <w:rFonts w:ascii="宋体" w:hAnsi="宋体" w:eastAsia="宋体" w:cs="宋体"/>
          <w:b w:val="0"/>
          <w:bCs w:val="0"/>
          <w:color w:val="auto"/>
          <w:sz w:val="24"/>
          <w:szCs w:val="24"/>
          <w:shd w:val="clear" w:fill="FFFFFF"/>
        </w:rPr>
        <w:t>的中国境内生产的组件成本占比≥</w:t>
      </w:r>
      <w:r>
        <w:rPr>
          <w:rFonts w:ascii="宋体" w:hAnsi="宋体" w:eastAsia="宋体" w:cs="宋体"/>
          <w:b w:val="0"/>
          <w:bCs w:val="0"/>
          <w:strike/>
          <w:dstrike w:val="0"/>
          <w:color w:val="auto"/>
          <w:sz w:val="24"/>
          <w:szCs w:val="24"/>
          <w:u w:val="single"/>
          <w:shd w:val="clear" w:fill="FFFFFF"/>
        </w:rPr>
        <w:t>（规定比例）</w:t>
      </w:r>
      <w:r>
        <w:rPr>
          <w:rFonts w:ascii="宋体" w:hAnsi="宋体" w:eastAsia="宋体" w:cs="宋体"/>
          <w:b w:val="0"/>
          <w:bCs w:val="0"/>
          <w:strike/>
          <w:dstrike w:val="0"/>
          <w:color w:val="auto"/>
          <w:sz w:val="24"/>
          <w:szCs w:val="24"/>
          <w:shd w:val="clear" w:fill="FFFFFF"/>
          <w:vertAlign w:val="superscript"/>
        </w:rPr>
        <w:t>3</w:t>
      </w:r>
      <w:r>
        <w:rPr>
          <w:rFonts w:ascii="宋体" w:hAnsi="宋体" w:eastAsia="宋体" w:cs="宋体"/>
          <w:b w:val="0"/>
          <w:bCs w:val="0"/>
          <w:color w:val="auto"/>
          <w:sz w:val="24"/>
          <w:szCs w:val="24"/>
          <w:shd w:val="clear" w:fill="FFFFFF"/>
        </w:rPr>
        <w:t>。</w:t>
      </w:r>
      <w:r>
        <w:rPr>
          <w:rFonts w:ascii="宋体" w:hAnsi="宋体" w:eastAsia="宋体" w:cs="宋体"/>
          <w:b w:val="0"/>
          <w:bCs w:val="0"/>
          <w:strike/>
          <w:dstrike w:val="0"/>
          <w:color w:val="auto"/>
          <w:sz w:val="24"/>
          <w:szCs w:val="24"/>
          <w:u w:val="single"/>
          <w:shd w:val="clear" w:fill="FFFFFF"/>
        </w:rPr>
        <w:t>（产品名称1）</w:t>
      </w:r>
      <w:r>
        <w:rPr>
          <w:rFonts w:ascii="宋体" w:hAnsi="宋体" w:eastAsia="宋体" w:cs="宋体"/>
          <w:b w:val="0"/>
          <w:bCs w:val="0"/>
          <w:color w:val="auto"/>
          <w:sz w:val="24"/>
          <w:szCs w:val="24"/>
          <w:shd w:val="clear" w:fill="FFFFFF"/>
        </w:rPr>
        <w:t>的</w:t>
      </w:r>
      <w:r>
        <w:rPr>
          <w:rFonts w:ascii="宋体" w:hAnsi="宋体" w:eastAsia="宋体" w:cs="宋体"/>
          <w:b w:val="0"/>
          <w:bCs w:val="0"/>
          <w:strike/>
          <w:dstrike w:val="0"/>
          <w:color w:val="auto"/>
          <w:sz w:val="24"/>
          <w:szCs w:val="24"/>
          <w:u w:val="single"/>
          <w:shd w:val="clear" w:fill="FFFFFF"/>
        </w:rPr>
        <w:t>（关键组件）</w:t>
      </w:r>
      <w:r>
        <w:rPr>
          <w:rFonts w:ascii="宋体" w:hAnsi="宋体" w:eastAsia="宋体" w:cs="宋体"/>
          <w:b w:val="0"/>
          <w:bCs w:val="0"/>
          <w:strike/>
          <w:dstrike w:val="0"/>
          <w:color w:val="auto"/>
          <w:sz w:val="24"/>
          <w:szCs w:val="24"/>
          <w:shd w:val="clear" w:fill="FFFFFF"/>
          <w:vertAlign w:val="superscript"/>
        </w:rPr>
        <w:t>4</w:t>
      </w:r>
      <w:r>
        <w:rPr>
          <w:rFonts w:ascii="宋体" w:hAnsi="宋体" w:eastAsia="宋体" w:cs="宋体"/>
          <w:b w:val="0"/>
          <w:bCs w:val="0"/>
          <w:color w:val="auto"/>
          <w:sz w:val="24"/>
          <w:szCs w:val="24"/>
          <w:shd w:val="clear" w:fill="FFFFFF"/>
        </w:rPr>
        <w:t>在中国境内生产。</w:t>
      </w:r>
      <w:r>
        <w:rPr>
          <w:rFonts w:ascii="宋体" w:hAnsi="宋体" w:eastAsia="宋体" w:cs="宋体"/>
          <w:b w:val="0"/>
          <w:bCs w:val="0"/>
          <w:strike/>
          <w:dstrike w:val="0"/>
          <w:color w:val="auto"/>
          <w:sz w:val="24"/>
          <w:szCs w:val="24"/>
          <w:u w:val="single"/>
          <w:shd w:val="clear" w:fill="FFFFFF"/>
        </w:rPr>
        <w:t>（产品名称1）</w:t>
      </w:r>
      <w:r>
        <w:rPr>
          <w:rFonts w:ascii="宋体" w:hAnsi="宋体" w:eastAsia="宋体" w:cs="宋体"/>
          <w:b w:val="0"/>
          <w:bCs w:val="0"/>
          <w:color w:val="auto"/>
          <w:sz w:val="24"/>
          <w:szCs w:val="24"/>
          <w:shd w:val="clear" w:fill="FFFFFF"/>
        </w:rPr>
        <w:t>的</w:t>
      </w:r>
      <w:r>
        <w:rPr>
          <w:rFonts w:ascii="宋体" w:hAnsi="宋体" w:eastAsia="宋体" w:cs="宋体"/>
          <w:b w:val="0"/>
          <w:bCs w:val="0"/>
          <w:strike/>
          <w:dstrike w:val="0"/>
          <w:color w:val="auto"/>
          <w:sz w:val="24"/>
          <w:szCs w:val="24"/>
          <w:u w:val="single"/>
          <w:shd w:val="clear" w:fill="FFFFFF"/>
        </w:rPr>
        <w:t>（关键工序）</w:t>
      </w:r>
      <w:r>
        <w:rPr>
          <w:rFonts w:ascii="宋体" w:hAnsi="宋体" w:eastAsia="宋体" w:cs="宋体"/>
          <w:b w:val="0"/>
          <w:bCs w:val="0"/>
          <w:strike/>
          <w:dstrike w:val="0"/>
          <w:color w:val="auto"/>
          <w:sz w:val="24"/>
          <w:szCs w:val="24"/>
          <w:shd w:val="clear" w:fill="FFFFFF"/>
          <w:vertAlign w:val="superscript"/>
        </w:rPr>
        <w:t>5</w:t>
      </w:r>
      <w:r>
        <w:rPr>
          <w:rFonts w:ascii="宋体" w:hAnsi="宋体" w:eastAsia="宋体" w:cs="宋体"/>
          <w:b w:val="0"/>
          <w:bCs w:val="0"/>
          <w:color w:val="auto"/>
          <w:sz w:val="24"/>
          <w:szCs w:val="24"/>
          <w:shd w:val="clear" w:fill="FFFFFF"/>
        </w:rPr>
        <w:t>在中国境内完成。</w:t>
      </w:r>
    </w:p>
    <w:p w14:paraId="5C4FEC5F">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val="0"/>
          <w:bCs w:val="0"/>
          <w:color w:val="auto"/>
        </w:rPr>
      </w:pPr>
      <w:r>
        <w:rPr>
          <w:rFonts w:ascii="宋体" w:hAnsi="宋体" w:eastAsia="宋体" w:cs="宋体"/>
          <w:b w:val="0"/>
          <w:bCs w:val="0"/>
          <w:color w:val="auto"/>
          <w:sz w:val="24"/>
          <w:szCs w:val="24"/>
          <w:shd w:val="clear" w:fill="FFFFFF"/>
        </w:rPr>
        <w:t>2.</w:t>
      </w:r>
      <w:r>
        <w:rPr>
          <w:rFonts w:ascii="宋体" w:hAnsi="宋体" w:eastAsia="宋体" w:cs="宋体"/>
          <w:b w:val="0"/>
          <w:bCs w:val="0"/>
          <w:color w:val="auto"/>
          <w:sz w:val="24"/>
          <w:szCs w:val="24"/>
          <w:u w:val="single"/>
          <w:shd w:val="clear" w:fill="FFFFFF"/>
        </w:rPr>
        <w:t>（产品名称2）</w:t>
      </w:r>
      <w:r>
        <w:rPr>
          <w:rFonts w:ascii="宋体" w:hAnsi="宋体" w:eastAsia="宋体" w:cs="宋体"/>
          <w:b w:val="0"/>
          <w:bCs w:val="0"/>
          <w:color w:val="auto"/>
          <w:sz w:val="24"/>
          <w:szCs w:val="24"/>
          <w:shd w:val="clear" w:fill="FFFFFF"/>
        </w:rPr>
        <w:t>，生产厂为</w:t>
      </w:r>
      <w:r>
        <w:rPr>
          <w:rFonts w:ascii="宋体" w:hAnsi="宋体" w:eastAsia="宋体" w:cs="宋体"/>
          <w:b w:val="0"/>
          <w:bCs w:val="0"/>
          <w:color w:val="auto"/>
          <w:sz w:val="24"/>
          <w:szCs w:val="24"/>
          <w:u w:val="single"/>
          <w:shd w:val="clear" w:fill="FFFFFF"/>
        </w:rPr>
        <w:t>（厂名）</w:t>
      </w:r>
      <w:r>
        <w:rPr>
          <w:rFonts w:ascii="宋体" w:hAnsi="宋体" w:eastAsia="宋体" w:cs="宋体"/>
          <w:b w:val="0"/>
          <w:bCs w:val="0"/>
          <w:color w:val="auto"/>
          <w:sz w:val="24"/>
          <w:szCs w:val="24"/>
          <w:shd w:val="clear" w:fill="FFFFFF"/>
        </w:rPr>
        <w:t>，厂址为</w:t>
      </w:r>
      <w:r>
        <w:rPr>
          <w:rFonts w:ascii="宋体" w:hAnsi="宋体" w:eastAsia="宋体" w:cs="宋体"/>
          <w:b w:val="0"/>
          <w:bCs w:val="0"/>
          <w:color w:val="auto"/>
          <w:sz w:val="24"/>
          <w:szCs w:val="24"/>
          <w:u w:val="single"/>
          <w:shd w:val="clear" w:fill="FFFFFF"/>
        </w:rPr>
        <w:t>（生产厂址）</w:t>
      </w:r>
      <w:r>
        <w:rPr>
          <w:rFonts w:ascii="宋体" w:hAnsi="宋体" w:eastAsia="宋体" w:cs="宋体"/>
          <w:b w:val="0"/>
          <w:bCs w:val="0"/>
          <w:color w:val="auto"/>
          <w:sz w:val="24"/>
          <w:szCs w:val="24"/>
          <w:shd w:val="clear" w:fill="FFFFFF"/>
        </w:rPr>
        <w:t>。</w:t>
      </w:r>
      <w:r>
        <w:rPr>
          <w:rFonts w:ascii="宋体" w:hAnsi="宋体" w:eastAsia="宋体" w:cs="宋体"/>
          <w:b w:val="0"/>
          <w:bCs w:val="0"/>
          <w:strike/>
          <w:dstrike w:val="0"/>
          <w:color w:val="auto"/>
          <w:sz w:val="24"/>
          <w:szCs w:val="24"/>
          <w:u w:val="single"/>
          <w:shd w:val="clear" w:fill="FFFFFF"/>
        </w:rPr>
        <w:t>（产品名称2）</w:t>
      </w:r>
      <w:r>
        <w:rPr>
          <w:rFonts w:ascii="宋体" w:hAnsi="宋体" w:eastAsia="宋体" w:cs="宋体"/>
          <w:b w:val="0"/>
          <w:bCs w:val="0"/>
          <w:color w:val="auto"/>
          <w:sz w:val="24"/>
          <w:szCs w:val="24"/>
          <w:shd w:val="clear" w:fill="FFFFFF"/>
        </w:rPr>
        <w:t>的中国境内生产的组件成本占比≥</w:t>
      </w:r>
      <w:r>
        <w:rPr>
          <w:rFonts w:ascii="宋体" w:hAnsi="宋体" w:eastAsia="宋体" w:cs="宋体"/>
          <w:b w:val="0"/>
          <w:bCs w:val="0"/>
          <w:strike/>
          <w:dstrike w:val="0"/>
          <w:color w:val="auto"/>
          <w:sz w:val="24"/>
          <w:szCs w:val="24"/>
          <w:u w:val="single"/>
          <w:shd w:val="clear" w:fill="FFFFFF"/>
        </w:rPr>
        <w:t>（规定比例）</w:t>
      </w:r>
      <w:r>
        <w:rPr>
          <w:rFonts w:ascii="宋体" w:hAnsi="宋体" w:eastAsia="宋体" w:cs="宋体"/>
          <w:b w:val="0"/>
          <w:bCs w:val="0"/>
          <w:color w:val="auto"/>
          <w:sz w:val="24"/>
          <w:szCs w:val="24"/>
          <w:shd w:val="clear" w:fill="FFFFFF"/>
        </w:rPr>
        <w:t>。</w:t>
      </w:r>
      <w:r>
        <w:rPr>
          <w:rFonts w:ascii="宋体" w:hAnsi="宋体" w:eastAsia="宋体" w:cs="宋体"/>
          <w:b w:val="0"/>
          <w:bCs w:val="0"/>
          <w:strike/>
          <w:dstrike w:val="0"/>
          <w:color w:val="auto"/>
          <w:sz w:val="24"/>
          <w:szCs w:val="24"/>
          <w:u w:val="single"/>
          <w:shd w:val="clear" w:fill="FFFFFF"/>
        </w:rPr>
        <w:t>（产品名称2）</w:t>
      </w:r>
      <w:r>
        <w:rPr>
          <w:rFonts w:ascii="宋体" w:hAnsi="宋体" w:eastAsia="宋体" w:cs="宋体"/>
          <w:b w:val="0"/>
          <w:bCs w:val="0"/>
          <w:color w:val="auto"/>
          <w:sz w:val="24"/>
          <w:szCs w:val="24"/>
          <w:shd w:val="clear" w:fill="FFFFFF"/>
        </w:rPr>
        <w:t>的</w:t>
      </w:r>
      <w:r>
        <w:rPr>
          <w:rFonts w:ascii="宋体" w:hAnsi="宋体" w:eastAsia="宋体" w:cs="宋体"/>
          <w:b w:val="0"/>
          <w:bCs w:val="0"/>
          <w:strike/>
          <w:dstrike w:val="0"/>
          <w:color w:val="auto"/>
          <w:sz w:val="24"/>
          <w:szCs w:val="24"/>
          <w:u w:val="single"/>
          <w:shd w:val="clear" w:fill="FFFFFF"/>
        </w:rPr>
        <w:t>（关键组件）</w:t>
      </w:r>
      <w:r>
        <w:rPr>
          <w:rFonts w:ascii="宋体" w:hAnsi="宋体" w:eastAsia="宋体" w:cs="宋体"/>
          <w:b w:val="0"/>
          <w:bCs w:val="0"/>
          <w:color w:val="auto"/>
          <w:sz w:val="24"/>
          <w:szCs w:val="24"/>
          <w:shd w:val="clear" w:fill="FFFFFF"/>
        </w:rPr>
        <w:t>在中国境内生产。</w:t>
      </w:r>
      <w:r>
        <w:rPr>
          <w:rFonts w:ascii="宋体" w:hAnsi="宋体" w:eastAsia="宋体" w:cs="宋体"/>
          <w:b w:val="0"/>
          <w:bCs w:val="0"/>
          <w:strike/>
          <w:dstrike w:val="0"/>
          <w:color w:val="auto"/>
          <w:sz w:val="24"/>
          <w:szCs w:val="24"/>
          <w:u w:val="single"/>
          <w:shd w:val="clear" w:fill="FFFFFF"/>
        </w:rPr>
        <w:t>（产品名称1）</w:t>
      </w:r>
      <w:r>
        <w:rPr>
          <w:rFonts w:ascii="宋体" w:hAnsi="宋体" w:eastAsia="宋体" w:cs="宋体"/>
          <w:b w:val="0"/>
          <w:bCs w:val="0"/>
          <w:color w:val="auto"/>
          <w:sz w:val="24"/>
          <w:szCs w:val="24"/>
          <w:shd w:val="clear" w:fill="FFFFFF"/>
        </w:rPr>
        <w:t>的</w:t>
      </w:r>
      <w:r>
        <w:rPr>
          <w:rFonts w:ascii="宋体" w:hAnsi="宋体" w:eastAsia="宋体" w:cs="宋体"/>
          <w:b w:val="0"/>
          <w:bCs w:val="0"/>
          <w:strike/>
          <w:dstrike w:val="0"/>
          <w:color w:val="auto"/>
          <w:sz w:val="24"/>
          <w:szCs w:val="24"/>
          <w:u w:val="single"/>
          <w:shd w:val="clear" w:fill="FFFFFF"/>
        </w:rPr>
        <w:t>（关键工序）</w:t>
      </w:r>
      <w:r>
        <w:rPr>
          <w:rFonts w:ascii="宋体" w:hAnsi="宋体" w:eastAsia="宋体" w:cs="宋体"/>
          <w:b w:val="0"/>
          <w:bCs w:val="0"/>
          <w:color w:val="auto"/>
          <w:sz w:val="24"/>
          <w:szCs w:val="24"/>
          <w:shd w:val="clear" w:fill="FFFFFF"/>
        </w:rPr>
        <w:t>在中国境内完成。</w:t>
      </w:r>
    </w:p>
    <w:p w14:paraId="0FEECDEA">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val="0"/>
          <w:bCs w:val="0"/>
          <w:color w:val="auto"/>
        </w:rPr>
      </w:pPr>
      <w:r>
        <w:rPr>
          <w:rFonts w:ascii="宋体" w:hAnsi="宋体" w:eastAsia="宋体" w:cs="宋体"/>
          <w:b w:val="0"/>
          <w:bCs w:val="0"/>
          <w:color w:val="auto"/>
          <w:sz w:val="24"/>
          <w:szCs w:val="24"/>
          <w:shd w:val="clear" w:fill="FFFFFF"/>
        </w:rPr>
        <w:t>……</w:t>
      </w:r>
    </w:p>
    <w:p w14:paraId="1FC8583E">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val="0"/>
          <w:bCs w:val="0"/>
          <w:color w:val="auto"/>
        </w:rPr>
      </w:pPr>
      <w:r>
        <w:rPr>
          <w:rFonts w:ascii="宋体" w:hAnsi="宋体" w:eastAsia="宋体" w:cs="宋体"/>
          <w:b w:val="0"/>
          <w:bCs w:val="0"/>
          <w:color w:val="auto"/>
          <w:sz w:val="24"/>
          <w:szCs w:val="24"/>
          <w:shd w:val="clear" w:fill="FFFFFF"/>
        </w:rPr>
        <w:t>本公司（单位）对上述声明内容的真实性负责。如有虚假，愿承担相应法律责任。</w:t>
      </w:r>
    </w:p>
    <w:p w14:paraId="27249C3D">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rPr>
        <w:t> </w:t>
      </w:r>
    </w:p>
    <w:p w14:paraId="3552C567">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3720"/>
        <w:jc w:val="both"/>
        <w:rPr>
          <w:b w:val="0"/>
          <w:bCs w:val="0"/>
          <w:color w:val="auto"/>
        </w:rPr>
      </w:pPr>
      <w:r>
        <w:rPr>
          <w:rFonts w:ascii="宋体" w:hAnsi="宋体" w:eastAsia="宋体" w:cs="宋体"/>
          <w:b w:val="0"/>
          <w:bCs w:val="0"/>
          <w:color w:val="auto"/>
          <w:sz w:val="24"/>
          <w:szCs w:val="24"/>
          <w:shd w:val="clear" w:fill="FFFFFF"/>
        </w:rPr>
        <w:t>公司（单位）名称（盖章）：　</w:t>
      </w:r>
    </w:p>
    <w:p w14:paraId="62D20D77">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b w:val="0"/>
          <w:bCs w:val="0"/>
          <w:color w:val="auto"/>
        </w:rPr>
      </w:pPr>
      <w:r>
        <w:rPr>
          <w:rFonts w:ascii="宋体" w:hAnsi="宋体" w:eastAsia="宋体" w:cs="宋体"/>
          <w:b w:val="0"/>
          <w:bCs w:val="0"/>
          <w:color w:val="auto"/>
          <w:sz w:val="24"/>
          <w:szCs w:val="24"/>
          <w:shd w:val="clear" w:fill="FFFFFF"/>
        </w:rPr>
        <w:t>                                日期：　   年　  月　  日         </w:t>
      </w:r>
    </w:p>
    <w:p w14:paraId="497A75DA">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shd w:val="clear" w:fill="FFFFFF"/>
        </w:rPr>
        <w:t>__________________</w:t>
      </w:r>
    </w:p>
    <w:p w14:paraId="59485ABA">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shd w:val="clear" w:fill="FFFFFF"/>
        </w:rPr>
        <w:t>1.产品如有型号，请在“产品名称”栏一并填写。</w:t>
      </w:r>
    </w:p>
    <w:p w14:paraId="29974AE1">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shd w:val="clear" w:fill="FFFFFF"/>
        </w:rPr>
        <w:t>2.生产厂名与厂址应与生产厂营业执照载明的相关信息保持一致。</w:t>
      </w:r>
    </w:p>
    <w:p w14:paraId="65BBF812">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shd w:val="clear" w:fill="FFFFFF"/>
        </w:rPr>
        <w:t>3.该产品的中国境内生产的组件成本占比相关要求实施前，“规定比例”栏可不填，下同。</w:t>
      </w:r>
    </w:p>
    <w:p w14:paraId="7B448AAB">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shd w:val="clear" w:fill="FFFFFF"/>
        </w:rPr>
        <w:t>4.该产品的关键组件要求实施前，“关键组件”栏可不填，下同。</w:t>
      </w:r>
    </w:p>
    <w:p w14:paraId="2E60DA6D">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val="0"/>
          <w:bCs w:val="0"/>
          <w:color w:val="auto"/>
          <w:sz w:val="24"/>
          <w:szCs w:val="24"/>
          <w:shd w:val="clear" w:fill="FFFFFF"/>
        </w:rPr>
      </w:pPr>
      <w:r>
        <w:rPr>
          <w:rFonts w:ascii="宋体" w:hAnsi="宋体" w:eastAsia="宋体" w:cs="宋体"/>
          <w:b w:val="0"/>
          <w:bCs w:val="0"/>
          <w:color w:val="auto"/>
          <w:sz w:val="24"/>
          <w:szCs w:val="24"/>
          <w:shd w:val="clear" w:fill="FFFFFF"/>
        </w:rPr>
        <w:t>5.该产品的关键工序要求实施前，“关键工序”栏可不填，下同。</w:t>
      </w:r>
    </w:p>
    <w:p w14:paraId="422207BA">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val="0"/>
          <w:bCs w:val="0"/>
          <w:color w:val="auto"/>
          <w:sz w:val="24"/>
          <w:szCs w:val="24"/>
          <w:shd w:val="clear" w:fill="FFFFFF"/>
        </w:rPr>
      </w:pPr>
      <w:r>
        <w:rPr>
          <w:rFonts w:ascii="宋体" w:hAnsi="宋体" w:eastAsia="宋体" w:cs="宋体"/>
          <w:b w:val="0"/>
          <w:bCs w:val="0"/>
          <w:color w:val="auto"/>
          <w:sz w:val="24"/>
          <w:szCs w:val="24"/>
          <w:shd w:val="clear" w:fill="FFFFFF"/>
        </w:rPr>
        <w:t>6.用</w:t>
      </w:r>
      <w:r>
        <w:rPr>
          <w:rFonts w:hint="eastAsia" w:ascii="宋体" w:hAnsi="宋体" w:eastAsia="宋体" w:cs="宋体"/>
          <w:b w:val="0"/>
          <w:bCs w:val="0"/>
          <w:color w:val="auto"/>
          <w:sz w:val="24"/>
          <w:szCs w:val="24"/>
          <w:shd w:val="clear" w:fill="FFFFFF"/>
          <w:lang w:val="en-US" w:eastAsia="zh-CN"/>
        </w:rPr>
        <w:t>横</w:t>
      </w:r>
      <w:r>
        <w:rPr>
          <w:rFonts w:ascii="宋体" w:hAnsi="宋体" w:eastAsia="宋体" w:cs="宋体"/>
          <w:b w:val="0"/>
          <w:bCs w:val="0"/>
          <w:color w:val="auto"/>
          <w:sz w:val="24"/>
          <w:szCs w:val="24"/>
          <w:shd w:val="clear" w:fill="FFFFFF"/>
        </w:rPr>
        <w:t>线划除的地方无需填写。</w:t>
      </w:r>
    </w:p>
    <w:p w14:paraId="1F9D17CB">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2812F8E0">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FF0000"/>
          <w:sz w:val="24"/>
          <w:szCs w:val="24"/>
          <w:shd w:val="clear" w:fill="FFFFFF"/>
        </w:rPr>
      </w:pPr>
    </w:p>
    <w:p w14:paraId="0D14726A">
      <w:pPr>
        <w:jc w:val="center"/>
        <w:rPr>
          <w:rFonts w:hint="eastAsia" w:asciiTheme="minorEastAsia" w:hAnsiTheme="minorEastAsia" w:eastAsiaTheme="minorEastAsia" w:cstheme="minorEastAsia"/>
          <w:b/>
          <w:color w:val="000000"/>
          <w:sz w:val="24"/>
          <w:szCs w:val="24"/>
        </w:rPr>
      </w:pPr>
    </w:p>
    <w:p w14:paraId="22F26865">
      <w:pPr>
        <w:pStyle w:val="14"/>
        <w:spacing w:beforeAutospacing="0" w:afterAutospacing="0" w:line="0" w:lineRule="atLeast"/>
        <w:jc w:val="center"/>
        <w:rPr>
          <w:rFonts w:hint="eastAsia" w:ascii="黑体" w:hAnsi="宋体" w:eastAsia="黑体" w:cs="黑体"/>
          <w:b/>
          <w:color w:val="auto"/>
          <w:sz w:val="32"/>
          <w:szCs w:val="32"/>
          <w:highlight w:val="none"/>
        </w:rPr>
        <w:sectPr>
          <w:pgSz w:w="11906" w:h="16838"/>
          <w:pgMar w:top="1440" w:right="1800" w:bottom="1440" w:left="1800" w:header="851" w:footer="992" w:gutter="0"/>
          <w:pgNumType w:fmt="decimal"/>
          <w:cols w:space="425" w:num="1"/>
          <w:docGrid w:type="lines" w:linePitch="312" w:charSpace="0"/>
        </w:sectPr>
      </w:pPr>
    </w:p>
    <w:p w14:paraId="1FC0E2A3">
      <w:pPr>
        <w:pStyle w:val="14"/>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eastAsia="zh-CN"/>
        </w:rPr>
        <w:t>二</w:t>
      </w:r>
      <w:r>
        <w:rPr>
          <w:rFonts w:hint="eastAsia" w:ascii="黑体" w:hAnsi="宋体" w:eastAsia="黑体" w:cs="黑体"/>
          <w:b/>
          <w:color w:val="auto"/>
          <w:sz w:val="32"/>
          <w:szCs w:val="32"/>
          <w:highlight w:val="none"/>
        </w:rPr>
        <w:t>、联合体协议（参考格式）</w:t>
      </w:r>
    </w:p>
    <w:p w14:paraId="2E714315">
      <w:pPr>
        <w:pStyle w:val="14"/>
        <w:spacing w:beforeAutospacing="0" w:afterAutospacing="0" w:line="0" w:lineRule="atLeast"/>
        <w:jc w:val="both"/>
        <w:rPr>
          <w:color w:val="auto"/>
          <w:highlight w:val="none"/>
        </w:rPr>
      </w:pPr>
      <w:r>
        <w:rPr>
          <w:rFonts w:hint="eastAsia" w:ascii="宋体" w:hAnsi="宋体" w:eastAsia="宋体" w:cs="宋体"/>
          <w:color w:val="auto"/>
          <w:highlight w:val="none"/>
        </w:rPr>
        <w:t>（联合体中各供应商全称）在此达成以下协议：</w:t>
      </w:r>
    </w:p>
    <w:p w14:paraId="3B73CD3E">
      <w:pPr>
        <w:pStyle w:val="14"/>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自愿组成联合体，参加</w:t>
      </w:r>
      <w:r>
        <w:rPr>
          <w:rFonts w:hint="eastAsia" w:ascii="宋体" w:hAnsi="宋体" w:cs="宋体"/>
          <w:color w:val="auto"/>
          <w:highlight w:val="none"/>
          <w:lang w:eastAsia="zh-CN"/>
        </w:rPr>
        <w:t>江苏省盐南高新技术产业开发区教育发展中心</w:t>
      </w:r>
      <w:r>
        <w:rPr>
          <w:rFonts w:hint="eastAsia" w:ascii="宋体" w:hAnsi="宋体" w:eastAsia="宋体" w:cs="宋体"/>
          <w:color w:val="auto"/>
          <w:highlight w:val="none"/>
        </w:rPr>
        <w:t>组织的采购编号为</w:t>
      </w:r>
      <w:r>
        <w:rPr>
          <w:rFonts w:hint="eastAsia" w:ascii="宋体" w:hAnsi="宋体" w:eastAsia="宋体" w:cs="宋体"/>
          <w:color w:val="auto"/>
          <w:highlight w:val="none"/>
          <w:u w:val="single"/>
        </w:rPr>
        <w:t>（编号全称），（项目全称）</w:t>
      </w:r>
      <w:r>
        <w:rPr>
          <w:rFonts w:hint="eastAsia" w:ascii="宋体" w:hAnsi="宋体" w:eastAsia="宋体" w:cs="宋体"/>
          <w:color w:val="auto"/>
          <w:highlight w:val="none"/>
        </w:rPr>
        <w:t>项目的政府采购活动，我联合体指定</w:t>
      </w:r>
      <w:r>
        <w:rPr>
          <w:rFonts w:hint="eastAsia" w:ascii="宋体" w:hAnsi="宋体" w:eastAsia="宋体" w:cs="宋体"/>
          <w:color w:val="auto"/>
          <w:highlight w:val="none"/>
          <w:u w:val="single"/>
        </w:rPr>
        <w:t>（供应商*）</w:t>
      </w:r>
      <w:r>
        <w:rPr>
          <w:rFonts w:hint="eastAsia" w:ascii="宋体" w:hAnsi="宋体" w:eastAsia="宋体" w:cs="宋体"/>
          <w:color w:val="auto"/>
          <w:highlight w:val="none"/>
        </w:rPr>
        <w:t>为牵头单位（牵头单位必须为联合体成员）。</w:t>
      </w:r>
    </w:p>
    <w:p w14:paraId="190C9A74">
      <w:pPr>
        <w:pStyle w:val="14"/>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1F5AB76E">
      <w:pPr>
        <w:pStyle w:val="14"/>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BC0CC1D">
      <w:pPr>
        <w:pStyle w:val="14"/>
        <w:spacing w:beforeAutospacing="0" w:afterAutospacing="0" w:line="0" w:lineRule="atLeast"/>
        <w:ind w:firstLine="645"/>
        <w:jc w:val="both"/>
        <w:rPr>
          <w:color w:val="auto"/>
          <w:highlight w:val="none"/>
        </w:rPr>
      </w:pPr>
      <w:r>
        <w:rPr>
          <w:color w:val="auto"/>
          <w:highlight w:val="none"/>
        </w:rPr>
        <w:t> </w:t>
      </w:r>
    </w:p>
    <w:p w14:paraId="42786C41">
      <w:pPr>
        <w:pStyle w:val="14"/>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备注：本招标文件中要求加盖CA电子签章的地方，仅需加盖牵头单位的CA电子签章。</w:t>
      </w:r>
    </w:p>
    <w:p w14:paraId="264B0392">
      <w:pPr>
        <w:pStyle w:val="14"/>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 xml:space="preserve">                                          </w:t>
      </w:r>
    </w:p>
    <w:p w14:paraId="478085E2">
      <w:pPr>
        <w:pStyle w:val="14"/>
        <w:spacing w:beforeAutospacing="0" w:afterAutospacing="0" w:line="0" w:lineRule="atLeast"/>
        <w:ind w:firstLine="645"/>
        <w:jc w:val="right"/>
        <w:rPr>
          <w:color w:val="auto"/>
          <w:highlight w:val="none"/>
        </w:rPr>
      </w:pPr>
      <w:r>
        <w:rPr>
          <w:rFonts w:hint="eastAsia" w:ascii="宋体" w:hAnsi="宋体" w:eastAsia="宋体" w:cs="宋体"/>
          <w:color w:val="auto"/>
          <w:highlight w:val="none"/>
        </w:rPr>
        <w:t xml:space="preserve">联合体中各供应商全称（公章）：     </w:t>
      </w:r>
    </w:p>
    <w:p w14:paraId="47619660">
      <w:pPr>
        <w:pStyle w:val="14"/>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                                        日期：</w:t>
      </w:r>
    </w:p>
    <w:p w14:paraId="72749D74">
      <w:pPr>
        <w:pStyle w:val="14"/>
        <w:spacing w:beforeAutospacing="0" w:afterAutospacing="0" w:line="0" w:lineRule="atLeast"/>
        <w:ind w:firstLine="645"/>
        <w:jc w:val="both"/>
        <w:rPr>
          <w:color w:val="auto"/>
          <w:highlight w:val="none"/>
        </w:rPr>
      </w:pPr>
      <w:r>
        <w:rPr>
          <w:color w:val="auto"/>
          <w:highlight w:val="none"/>
        </w:rPr>
        <w:t> </w:t>
      </w:r>
    </w:p>
    <w:p w14:paraId="27B1BAB3">
      <w:pPr>
        <w:pStyle w:val="14"/>
        <w:spacing w:beforeAutospacing="0" w:afterAutospacing="0"/>
        <w:jc w:val="center"/>
        <w:rPr>
          <w:rFonts w:hint="eastAsia" w:ascii="黑体" w:hAnsi="宋体" w:eastAsia="黑体" w:cs="黑体"/>
          <w:b/>
          <w:color w:val="000000"/>
          <w:sz w:val="32"/>
          <w:szCs w:val="32"/>
          <w:highlight w:val="none"/>
        </w:rPr>
        <w:sectPr>
          <w:pgSz w:w="11906" w:h="16838"/>
          <w:pgMar w:top="1440" w:right="1800" w:bottom="1440" w:left="1800" w:header="851" w:footer="992" w:gutter="0"/>
          <w:pgNumType w:fmt="decimal"/>
          <w:cols w:space="425" w:num="1"/>
          <w:docGrid w:type="lines" w:linePitch="312" w:charSpace="0"/>
        </w:sectPr>
      </w:pPr>
    </w:p>
    <w:p w14:paraId="0F9D6EE9">
      <w:pPr>
        <w:pStyle w:val="14"/>
        <w:spacing w:beforeAutospacing="0" w:afterAutospacing="0"/>
        <w:jc w:val="center"/>
        <w:rPr>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eastAsia="zh-CN"/>
        </w:rPr>
        <w:t>三</w:t>
      </w:r>
      <w:r>
        <w:rPr>
          <w:rFonts w:hint="eastAsia" w:ascii="黑体" w:hAnsi="宋体" w:eastAsia="黑体" w:cs="黑体"/>
          <w:b/>
          <w:color w:val="000000"/>
          <w:sz w:val="32"/>
          <w:szCs w:val="32"/>
          <w:highlight w:val="none"/>
        </w:rPr>
        <w:t>、投标分项报价表</w:t>
      </w:r>
    </w:p>
    <w:tbl>
      <w:tblPr>
        <w:tblStyle w:val="17"/>
        <w:tblW w:w="49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0"/>
        <w:gridCol w:w="1300"/>
        <w:gridCol w:w="1380"/>
        <w:gridCol w:w="1110"/>
        <w:gridCol w:w="1514"/>
        <w:gridCol w:w="1191"/>
      </w:tblGrid>
      <w:tr w14:paraId="0BED9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1177" w:type="pct"/>
            <w:noWrap w:val="0"/>
            <w:vAlign w:val="center"/>
          </w:tcPr>
          <w:p w14:paraId="0C29BF04">
            <w:pPr>
              <w:jc w:val="center"/>
              <w:rPr>
                <w:b/>
                <w:bCs/>
                <w:vertAlign w:val="baseline"/>
              </w:rPr>
            </w:pPr>
            <w:r>
              <w:rPr>
                <w:rFonts w:hint="eastAsia"/>
                <w:b/>
                <w:bCs/>
              </w:rPr>
              <w:t>费用类别</w:t>
            </w:r>
          </w:p>
        </w:tc>
        <w:tc>
          <w:tcPr>
            <w:tcW w:w="765" w:type="pct"/>
            <w:noWrap w:val="0"/>
            <w:vAlign w:val="center"/>
          </w:tcPr>
          <w:p w14:paraId="0FFF1EF9">
            <w:pPr>
              <w:jc w:val="center"/>
              <w:rPr>
                <w:b/>
                <w:bCs/>
                <w:vertAlign w:val="baseline"/>
              </w:rPr>
            </w:pPr>
            <w:r>
              <w:rPr>
                <w:rFonts w:hint="eastAsia"/>
                <w:b/>
                <w:bCs/>
              </w:rPr>
              <w:t>月费用(元</w:t>
            </w:r>
            <w:r>
              <w:rPr>
                <w:rFonts w:hint="eastAsia"/>
                <w:b/>
                <w:bCs/>
                <w:lang w:val="en-US" w:eastAsia="zh-CN"/>
              </w:rPr>
              <w:t>/月</w:t>
            </w:r>
            <w:r>
              <w:rPr>
                <w:rFonts w:hint="eastAsia"/>
                <w:b/>
                <w:bCs/>
              </w:rPr>
              <w:t>)</w:t>
            </w:r>
          </w:p>
        </w:tc>
        <w:tc>
          <w:tcPr>
            <w:tcW w:w="812" w:type="pct"/>
            <w:noWrap w:val="0"/>
            <w:vAlign w:val="center"/>
          </w:tcPr>
          <w:p w14:paraId="004372DC">
            <w:pPr>
              <w:jc w:val="center"/>
              <w:rPr>
                <w:b/>
                <w:bCs/>
                <w:vertAlign w:val="baseline"/>
              </w:rPr>
            </w:pPr>
            <w:r>
              <w:rPr>
                <w:rFonts w:hint="eastAsia"/>
                <w:b/>
                <w:bCs/>
              </w:rPr>
              <w:t>年费用(元</w:t>
            </w:r>
            <w:r>
              <w:rPr>
                <w:rFonts w:hint="eastAsia"/>
                <w:b/>
                <w:bCs/>
                <w:lang w:val="en-US" w:eastAsia="zh-CN"/>
              </w:rPr>
              <w:t>/年</w:t>
            </w:r>
            <w:r>
              <w:rPr>
                <w:rFonts w:hint="eastAsia"/>
                <w:b/>
                <w:bCs/>
              </w:rPr>
              <w:t>)</w:t>
            </w:r>
          </w:p>
        </w:tc>
        <w:tc>
          <w:tcPr>
            <w:tcW w:w="653" w:type="pct"/>
            <w:noWrap w:val="0"/>
            <w:vAlign w:val="center"/>
          </w:tcPr>
          <w:p w14:paraId="6E1B314F">
            <w:pPr>
              <w:jc w:val="center"/>
              <w:rPr>
                <w:rFonts w:hint="eastAsia"/>
                <w:b/>
                <w:bCs/>
              </w:rPr>
            </w:pPr>
            <w:r>
              <w:rPr>
                <w:rFonts w:hint="eastAsia"/>
                <w:b/>
                <w:bCs/>
                <w:lang w:val="en-US" w:eastAsia="zh-CN"/>
              </w:rPr>
              <w:t>数量</w:t>
            </w:r>
          </w:p>
        </w:tc>
        <w:tc>
          <w:tcPr>
            <w:tcW w:w="891" w:type="pct"/>
            <w:noWrap w:val="0"/>
            <w:vAlign w:val="center"/>
          </w:tcPr>
          <w:p w14:paraId="6CBC9D27">
            <w:pPr>
              <w:jc w:val="center"/>
              <w:rPr>
                <w:rFonts w:hint="eastAsia"/>
                <w:b/>
                <w:bCs/>
              </w:rPr>
            </w:pPr>
            <w:r>
              <w:rPr>
                <w:rFonts w:hint="eastAsia"/>
                <w:b/>
                <w:bCs/>
                <w:lang w:val="en-US" w:eastAsia="zh-CN"/>
              </w:rPr>
              <w:t>合计（元/年）</w:t>
            </w:r>
          </w:p>
        </w:tc>
        <w:tc>
          <w:tcPr>
            <w:tcW w:w="701" w:type="pct"/>
            <w:noWrap w:val="0"/>
            <w:vAlign w:val="center"/>
          </w:tcPr>
          <w:p w14:paraId="46D845BB">
            <w:pPr>
              <w:jc w:val="center"/>
              <w:rPr>
                <w:rFonts w:hint="eastAsia"/>
                <w:b/>
                <w:bCs/>
              </w:rPr>
            </w:pPr>
            <w:r>
              <w:rPr>
                <w:rFonts w:hint="eastAsia"/>
                <w:b/>
                <w:bCs/>
                <w:lang w:val="en-US" w:eastAsia="zh-CN"/>
              </w:rPr>
              <w:t>备注</w:t>
            </w:r>
          </w:p>
        </w:tc>
      </w:tr>
      <w:tr w14:paraId="750DE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2000" w:type="dxa"/>
            <w:noWrap w:val="0"/>
            <w:vAlign w:val="center"/>
          </w:tcPr>
          <w:p w14:paraId="05C139BA">
            <w:pPr>
              <w:keepNext w:val="0"/>
              <w:keepLines w:val="0"/>
              <w:widowControl/>
              <w:suppressLineNumbers w:val="0"/>
              <w:jc w:val="center"/>
              <w:textAlignment w:val="center"/>
              <w:rPr>
                <w:rFonts w:hint="eastAsia" w:ascii="宋体" w:hAnsi="宋体" w:eastAsia="宋体" w:cs="宋体"/>
                <w:sz w:val="21"/>
                <w:szCs w:val="21"/>
                <w:vertAlign w:val="baseline"/>
              </w:rPr>
            </w:pPr>
            <w:r>
              <w:rPr>
                <w:rFonts w:hint="eastAsia" w:ascii="宋体" w:hAnsi="宋体" w:eastAsia="宋体" w:cs="宋体"/>
                <w:i w:val="0"/>
                <w:iCs w:val="0"/>
                <w:color w:val="000000"/>
                <w:kern w:val="0"/>
                <w:sz w:val="22"/>
                <w:szCs w:val="22"/>
                <w:u w:val="none"/>
                <w:lang w:val="en-US" w:eastAsia="zh-CN" w:bidi="ar"/>
              </w:rPr>
              <w:t>基本工资</w:t>
            </w:r>
          </w:p>
        </w:tc>
        <w:tc>
          <w:tcPr>
            <w:tcW w:w="1300" w:type="dxa"/>
            <w:noWrap w:val="0"/>
            <w:vAlign w:val="center"/>
          </w:tcPr>
          <w:p w14:paraId="370F14C8">
            <w:pPr>
              <w:keepNext w:val="0"/>
              <w:keepLines w:val="0"/>
              <w:widowControl/>
              <w:suppressLineNumbers w:val="0"/>
              <w:jc w:val="center"/>
              <w:textAlignment w:val="center"/>
              <w:rPr>
                <w:rFonts w:hint="eastAsia" w:ascii="宋体" w:hAnsi="宋体" w:eastAsia="宋体" w:cs="宋体"/>
                <w:sz w:val="21"/>
                <w:szCs w:val="21"/>
                <w:vertAlign w:val="baseline"/>
              </w:rPr>
            </w:pPr>
            <w:r>
              <w:rPr>
                <w:rFonts w:hint="eastAsia" w:ascii="宋体" w:hAnsi="宋体" w:eastAsia="宋体" w:cs="宋体"/>
                <w:i w:val="0"/>
                <w:iCs w:val="0"/>
                <w:color w:val="000000"/>
                <w:kern w:val="0"/>
                <w:sz w:val="22"/>
                <w:szCs w:val="22"/>
                <w:u w:val="none"/>
                <w:lang w:val="en-US" w:eastAsia="zh-CN" w:bidi="ar"/>
              </w:rPr>
              <w:t>2673</w:t>
            </w:r>
          </w:p>
        </w:tc>
        <w:tc>
          <w:tcPr>
            <w:tcW w:w="1380" w:type="dxa"/>
            <w:noWrap w:val="0"/>
            <w:vAlign w:val="center"/>
          </w:tcPr>
          <w:p w14:paraId="71816722">
            <w:pPr>
              <w:keepNext w:val="0"/>
              <w:keepLines w:val="0"/>
              <w:widowControl/>
              <w:suppressLineNumbers w:val="0"/>
              <w:jc w:val="center"/>
              <w:textAlignment w:val="center"/>
              <w:rPr>
                <w:rFonts w:hint="eastAsia" w:ascii="宋体" w:hAnsi="宋体" w:eastAsia="宋体" w:cs="宋体"/>
                <w:sz w:val="21"/>
                <w:szCs w:val="21"/>
                <w:vertAlign w:val="baseline"/>
              </w:rPr>
            </w:pPr>
            <w:r>
              <w:rPr>
                <w:rFonts w:hint="eastAsia" w:ascii="宋体" w:hAnsi="宋体" w:eastAsia="宋体" w:cs="宋体"/>
                <w:i w:val="0"/>
                <w:iCs w:val="0"/>
                <w:color w:val="000000"/>
                <w:kern w:val="0"/>
                <w:sz w:val="22"/>
                <w:szCs w:val="22"/>
                <w:u w:val="none"/>
                <w:lang w:val="en-US" w:eastAsia="zh-CN" w:bidi="ar"/>
              </w:rPr>
              <w:t>32076</w:t>
            </w:r>
          </w:p>
        </w:tc>
        <w:tc>
          <w:tcPr>
            <w:tcW w:w="1110" w:type="dxa"/>
            <w:noWrap w:val="0"/>
            <w:vAlign w:val="center"/>
          </w:tcPr>
          <w:p w14:paraId="3E1051E8">
            <w:pPr>
              <w:keepNext w:val="0"/>
              <w:keepLines w:val="0"/>
              <w:widowControl/>
              <w:suppressLineNumbers w:val="0"/>
              <w:jc w:val="center"/>
              <w:textAlignment w:val="center"/>
              <w:rPr>
                <w:rFonts w:hint="default" w:ascii="宋体" w:hAnsi="宋体" w:eastAsia="宋体" w:cs="宋体"/>
                <w:sz w:val="21"/>
                <w:szCs w:val="21"/>
                <w:vertAlign w:val="baseline"/>
                <w:lang w:val="en-US" w:eastAsia="zh-CN"/>
              </w:rPr>
            </w:pPr>
            <w:r>
              <w:rPr>
                <w:rFonts w:hint="eastAsia" w:ascii="宋体" w:hAnsi="宋体" w:eastAsia="宋体" w:cs="宋体"/>
                <w:i w:val="0"/>
                <w:iCs w:val="0"/>
                <w:color w:val="000000"/>
                <w:kern w:val="0"/>
                <w:sz w:val="22"/>
                <w:szCs w:val="22"/>
                <w:u w:val="none"/>
                <w:lang w:val="en-US" w:eastAsia="zh-CN" w:bidi="ar"/>
              </w:rPr>
              <w:t>35</w:t>
            </w:r>
          </w:p>
        </w:tc>
        <w:tc>
          <w:tcPr>
            <w:tcW w:w="891" w:type="pct"/>
            <w:noWrap w:val="0"/>
            <w:vAlign w:val="center"/>
          </w:tcPr>
          <w:p w14:paraId="74D133A3">
            <w:pPr>
              <w:jc w:val="center"/>
              <w:rPr>
                <w:rFonts w:hint="eastAsia" w:ascii="宋体" w:hAnsi="宋体" w:eastAsia="宋体" w:cs="宋体"/>
                <w:sz w:val="21"/>
                <w:szCs w:val="21"/>
                <w:vertAlign w:val="baseline"/>
              </w:rPr>
            </w:pPr>
          </w:p>
        </w:tc>
        <w:tc>
          <w:tcPr>
            <w:tcW w:w="701" w:type="pct"/>
            <w:noWrap w:val="0"/>
            <w:vAlign w:val="center"/>
          </w:tcPr>
          <w:p w14:paraId="49FD4458">
            <w:pPr>
              <w:jc w:val="center"/>
              <w:rPr>
                <w:rFonts w:hint="eastAsia" w:ascii="宋体" w:hAnsi="宋体" w:eastAsia="宋体" w:cs="宋体"/>
                <w:sz w:val="21"/>
                <w:szCs w:val="21"/>
                <w:vertAlign w:val="baseline"/>
              </w:rPr>
            </w:pPr>
          </w:p>
        </w:tc>
      </w:tr>
      <w:tr w14:paraId="025F7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2000" w:type="dxa"/>
            <w:noWrap w:val="0"/>
            <w:vAlign w:val="center"/>
          </w:tcPr>
          <w:p w14:paraId="374BC932">
            <w:pPr>
              <w:keepNext w:val="0"/>
              <w:keepLines w:val="0"/>
              <w:widowControl/>
              <w:suppressLineNumbers w:val="0"/>
              <w:jc w:val="center"/>
              <w:textAlignment w:val="center"/>
              <w:rPr>
                <w:rFonts w:hint="eastAsia" w:ascii="宋体" w:hAnsi="宋体" w:eastAsia="宋体" w:cs="宋体"/>
                <w:sz w:val="21"/>
                <w:szCs w:val="21"/>
                <w:vertAlign w:val="baseline"/>
              </w:rPr>
            </w:pPr>
            <w:r>
              <w:rPr>
                <w:rFonts w:hint="eastAsia" w:ascii="宋体" w:hAnsi="宋体" w:eastAsia="宋体" w:cs="宋体"/>
                <w:i w:val="0"/>
                <w:iCs w:val="0"/>
                <w:color w:val="000000"/>
                <w:kern w:val="0"/>
                <w:sz w:val="22"/>
                <w:szCs w:val="22"/>
                <w:u w:val="none"/>
                <w:lang w:val="en-US" w:eastAsia="zh-CN" w:bidi="ar"/>
              </w:rPr>
              <w:t>社会养老保险</w:t>
            </w:r>
          </w:p>
        </w:tc>
        <w:tc>
          <w:tcPr>
            <w:tcW w:w="1300" w:type="dxa"/>
            <w:noWrap w:val="0"/>
            <w:vAlign w:val="center"/>
          </w:tcPr>
          <w:p w14:paraId="24173344">
            <w:pPr>
              <w:keepNext w:val="0"/>
              <w:keepLines w:val="0"/>
              <w:widowControl/>
              <w:suppressLineNumbers w:val="0"/>
              <w:jc w:val="center"/>
              <w:textAlignment w:val="center"/>
              <w:rPr>
                <w:rFonts w:hint="eastAsia" w:ascii="宋体" w:hAnsi="宋体" w:eastAsia="宋体" w:cs="宋体"/>
                <w:sz w:val="21"/>
                <w:szCs w:val="21"/>
                <w:vertAlign w:val="baseline"/>
              </w:rPr>
            </w:pPr>
            <w:r>
              <w:rPr>
                <w:rFonts w:hint="eastAsia" w:ascii="宋体" w:hAnsi="宋体" w:eastAsia="宋体" w:cs="宋体"/>
                <w:i w:val="0"/>
                <w:iCs w:val="0"/>
                <w:color w:val="000000"/>
                <w:kern w:val="0"/>
                <w:sz w:val="22"/>
                <w:szCs w:val="22"/>
                <w:u w:val="none"/>
                <w:lang w:val="en-US" w:eastAsia="zh-CN" w:bidi="ar"/>
              </w:rPr>
              <w:t>1292.47</w:t>
            </w:r>
          </w:p>
        </w:tc>
        <w:tc>
          <w:tcPr>
            <w:tcW w:w="1380" w:type="dxa"/>
            <w:noWrap w:val="0"/>
            <w:vAlign w:val="center"/>
          </w:tcPr>
          <w:p w14:paraId="225E4D08">
            <w:pPr>
              <w:keepNext w:val="0"/>
              <w:keepLines w:val="0"/>
              <w:widowControl/>
              <w:suppressLineNumbers w:val="0"/>
              <w:jc w:val="center"/>
              <w:textAlignment w:val="center"/>
              <w:rPr>
                <w:rFonts w:hint="eastAsia" w:ascii="宋体" w:hAnsi="宋体" w:eastAsia="宋体" w:cs="宋体"/>
                <w:sz w:val="21"/>
                <w:szCs w:val="21"/>
                <w:vertAlign w:val="baseline"/>
              </w:rPr>
            </w:pPr>
            <w:r>
              <w:rPr>
                <w:rFonts w:hint="eastAsia" w:ascii="宋体" w:hAnsi="宋体" w:eastAsia="宋体" w:cs="宋体"/>
                <w:i w:val="0"/>
                <w:iCs w:val="0"/>
                <w:color w:val="000000"/>
                <w:kern w:val="0"/>
                <w:sz w:val="22"/>
                <w:szCs w:val="22"/>
                <w:u w:val="none"/>
                <w:lang w:val="en-US" w:eastAsia="zh-CN" w:bidi="ar"/>
              </w:rPr>
              <w:t>15509.64</w:t>
            </w:r>
          </w:p>
        </w:tc>
        <w:tc>
          <w:tcPr>
            <w:tcW w:w="1110" w:type="dxa"/>
            <w:noWrap w:val="0"/>
            <w:vAlign w:val="center"/>
          </w:tcPr>
          <w:p w14:paraId="27DD0DC0">
            <w:pPr>
              <w:keepNext w:val="0"/>
              <w:keepLines w:val="0"/>
              <w:widowControl/>
              <w:suppressLineNumbers w:val="0"/>
              <w:jc w:val="center"/>
              <w:textAlignment w:val="center"/>
              <w:rPr>
                <w:rFonts w:hint="eastAsia" w:ascii="宋体" w:hAnsi="宋体" w:eastAsia="宋体" w:cs="宋体"/>
                <w:sz w:val="21"/>
                <w:szCs w:val="21"/>
                <w:vertAlign w:val="baseline"/>
              </w:rPr>
            </w:pPr>
            <w:r>
              <w:rPr>
                <w:rFonts w:hint="eastAsia" w:ascii="宋体" w:hAnsi="宋体" w:eastAsia="宋体" w:cs="宋体"/>
                <w:i w:val="0"/>
                <w:iCs w:val="0"/>
                <w:color w:val="000000"/>
                <w:kern w:val="0"/>
                <w:sz w:val="22"/>
                <w:szCs w:val="22"/>
                <w:u w:val="none"/>
                <w:lang w:val="en-US" w:eastAsia="zh-CN" w:bidi="ar"/>
              </w:rPr>
              <w:t>35</w:t>
            </w:r>
          </w:p>
        </w:tc>
        <w:tc>
          <w:tcPr>
            <w:tcW w:w="891" w:type="pct"/>
            <w:noWrap w:val="0"/>
            <w:vAlign w:val="center"/>
          </w:tcPr>
          <w:p w14:paraId="69A72538">
            <w:pPr>
              <w:jc w:val="center"/>
              <w:rPr>
                <w:rFonts w:hint="eastAsia" w:ascii="宋体" w:hAnsi="宋体" w:eastAsia="宋体" w:cs="宋体"/>
                <w:sz w:val="21"/>
                <w:szCs w:val="21"/>
                <w:vertAlign w:val="baseline"/>
              </w:rPr>
            </w:pPr>
          </w:p>
        </w:tc>
        <w:tc>
          <w:tcPr>
            <w:tcW w:w="701" w:type="pct"/>
            <w:noWrap w:val="0"/>
            <w:vAlign w:val="center"/>
          </w:tcPr>
          <w:p w14:paraId="4A39917A">
            <w:pPr>
              <w:jc w:val="center"/>
              <w:rPr>
                <w:rFonts w:hint="eastAsia" w:ascii="宋体" w:hAnsi="宋体" w:eastAsia="宋体" w:cs="宋体"/>
                <w:sz w:val="21"/>
                <w:szCs w:val="21"/>
                <w:vertAlign w:val="baseline"/>
              </w:rPr>
            </w:pPr>
          </w:p>
        </w:tc>
      </w:tr>
      <w:tr w14:paraId="35328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2000" w:type="dxa"/>
            <w:noWrap w:val="0"/>
            <w:vAlign w:val="center"/>
          </w:tcPr>
          <w:p w14:paraId="63E321ED">
            <w:pPr>
              <w:keepNext w:val="0"/>
              <w:keepLines w:val="0"/>
              <w:widowControl/>
              <w:suppressLineNumbers w:val="0"/>
              <w:jc w:val="center"/>
              <w:textAlignment w:val="center"/>
              <w:rPr>
                <w:rFonts w:hint="eastAsia" w:ascii="宋体" w:hAnsi="宋体" w:eastAsia="宋体" w:cs="宋体"/>
                <w:sz w:val="21"/>
                <w:szCs w:val="21"/>
                <w:vertAlign w:val="baseline"/>
              </w:rPr>
            </w:pPr>
            <w:r>
              <w:rPr>
                <w:rFonts w:hint="eastAsia" w:ascii="宋体" w:hAnsi="宋体" w:eastAsia="宋体" w:cs="宋体"/>
                <w:i w:val="0"/>
                <w:iCs w:val="0"/>
                <w:color w:val="000000"/>
                <w:kern w:val="0"/>
                <w:sz w:val="22"/>
                <w:szCs w:val="22"/>
                <w:u w:val="none"/>
                <w:lang w:val="en-US" w:eastAsia="zh-CN" w:bidi="ar"/>
              </w:rPr>
              <w:t>公积金</w:t>
            </w:r>
          </w:p>
        </w:tc>
        <w:tc>
          <w:tcPr>
            <w:tcW w:w="1300" w:type="dxa"/>
            <w:noWrap w:val="0"/>
            <w:vAlign w:val="center"/>
          </w:tcPr>
          <w:p w14:paraId="722A89AE">
            <w:pPr>
              <w:keepNext w:val="0"/>
              <w:keepLines w:val="0"/>
              <w:widowControl/>
              <w:suppressLineNumbers w:val="0"/>
              <w:jc w:val="center"/>
              <w:textAlignment w:val="center"/>
              <w:rPr>
                <w:rFonts w:hint="eastAsia" w:ascii="宋体" w:hAnsi="宋体" w:eastAsia="宋体" w:cs="宋体"/>
                <w:sz w:val="21"/>
                <w:szCs w:val="21"/>
                <w:vertAlign w:val="baseline"/>
              </w:rPr>
            </w:pPr>
            <w:r>
              <w:rPr>
                <w:rFonts w:hint="eastAsia" w:ascii="宋体" w:hAnsi="宋体" w:eastAsia="宋体" w:cs="宋体"/>
                <w:i w:val="0"/>
                <w:iCs w:val="0"/>
                <w:color w:val="000000"/>
                <w:kern w:val="0"/>
                <w:sz w:val="22"/>
                <w:szCs w:val="22"/>
                <w:u w:val="none"/>
                <w:lang w:val="en-US" w:eastAsia="zh-CN" w:bidi="ar"/>
              </w:rPr>
              <w:t>114</w:t>
            </w:r>
          </w:p>
        </w:tc>
        <w:tc>
          <w:tcPr>
            <w:tcW w:w="1380" w:type="dxa"/>
            <w:noWrap w:val="0"/>
            <w:vAlign w:val="center"/>
          </w:tcPr>
          <w:p w14:paraId="1BEC2E11">
            <w:pPr>
              <w:keepNext w:val="0"/>
              <w:keepLines w:val="0"/>
              <w:widowControl/>
              <w:suppressLineNumbers w:val="0"/>
              <w:jc w:val="center"/>
              <w:textAlignment w:val="center"/>
              <w:rPr>
                <w:rFonts w:hint="eastAsia" w:ascii="宋体" w:hAnsi="宋体" w:eastAsia="宋体" w:cs="宋体"/>
                <w:sz w:val="21"/>
                <w:szCs w:val="21"/>
                <w:vertAlign w:val="baseline"/>
              </w:rPr>
            </w:pPr>
            <w:r>
              <w:rPr>
                <w:rFonts w:hint="eastAsia" w:ascii="宋体" w:hAnsi="宋体" w:eastAsia="宋体" w:cs="宋体"/>
                <w:i w:val="0"/>
                <w:iCs w:val="0"/>
                <w:color w:val="000000"/>
                <w:kern w:val="0"/>
                <w:sz w:val="22"/>
                <w:szCs w:val="22"/>
                <w:u w:val="none"/>
                <w:lang w:val="en-US" w:eastAsia="zh-CN" w:bidi="ar"/>
              </w:rPr>
              <w:t>1368</w:t>
            </w:r>
          </w:p>
        </w:tc>
        <w:tc>
          <w:tcPr>
            <w:tcW w:w="1110" w:type="dxa"/>
            <w:noWrap w:val="0"/>
            <w:vAlign w:val="center"/>
          </w:tcPr>
          <w:p w14:paraId="44B0B9B6">
            <w:pPr>
              <w:keepNext w:val="0"/>
              <w:keepLines w:val="0"/>
              <w:widowControl/>
              <w:suppressLineNumbers w:val="0"/>
              <w:jc w:val="center"/>
              <w:textAlignment w:val="center"/>
              <w:rPr>
                <w:rFonts w:hint="eastAsia" w:ascii="宋体" w:hAnsi="宋体" w:eastAsia="宋体" w:cs="宋体"/>
                <w:sz w:val="21"/>
                <w:szCs w:val="21"/>
                <w:vertAlign w:val="baseline"/>
              </w:rPr>
            </w:pPr>
            <w:r>
              <w:rPr>
                <w:rFonts w:hint="eastAsia" w:ascii="宋体" w:hAnsi="宋体" w:eastAsia="宋体" w:cs="宋体"/>
                <w:i w:val="0"/>
                <w:iCs w:val="0"/>
                <w:color w:val="000000"/>
                <w:kern w:val="0"/>
                <w:sz w:val="22"/>
                <w:szCs w:val="22"/>
                <w:u w:val="none"/>
                <w:lang w:val="en-US" w:eastAsia="zh-CN" w:bidi="ar"/>
              </w:rPr>
              <w:t>35</w:t>
            </w:r>
          </w:p>
        </w:tc>
        <w:tc>
          <w:tcPr>
            <w:tcW w:w="891" w:type="pct"/>
            <w:noWrap w:val="0"/>
            <w:vAlign w:val="center"/>
          </w:tcPr>
          <w:p w14:paraId="3FA03E65">
            <w:pPr>
              <w:jc w:val="center"/>
              <w:rPr>
                <w:rFonts w:hint="eastAsia" w:ascii="宋体" w:hAnsi="宋体" w:eastAsia="宋体" w:cs="宋体"/>
                <w:sz w:val="21"/>
                <w:szCs w:val="21"/>
                <w:vertAlign w:val="baseline"/>
              </w:rPr>
            </w:pPr>
          </w:p>
        </w:tc>
        <w:tc>
          <w:tcPr>
            <w:tcW w:w="701" w:type="pct"/>
            <w:noWrap w:val="0"/>
            <w:vAlign w:val="center"/>
          </w:tcPr>
          <w:p w14:paraId="5F5FD37C">
            <w:pPr>
              <w:jc w:val="center"/>
              <w:rPr>
                <w:rFonts w:hint="eastAsia" w:ascii="宋体" w:hAnsi="宋体" w:eastAsia="宋体" w:cs="宋体"/>
                <w:sz w:val="21"/>
                <w:szCs w:val="21"/>
                <w:vertAlign w:val="baseline"/>
              </w:rPr>
            </w:pPr>
          </w:p>
        </w:tc>
      </w:tr>
      <w:tr w14:paraId="668F7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2000" w:type="dxa"/>
            <w:noWrap w:val="0"/>
            <w:vAlign w:val="center"/>
          </w:tcPr>
          <w:p w14:paraId="0B333C63">
            <w:pPr>
              <w:keepNext w:val="0"/>
              <w:keepLines w:val="0"/>
              <w:widowControl/>
              <w:suppressLineNumbers w:val="0"/>
              <w:jc w:val="center"/>
              <w:textAlignment w:val="center"/>
              <w:rPr>
                <w:rFonts w:hint="eastAsia" w:ascii="宋体" w:hAnsi="宋体" w:eastAsia="宋体" w:cs="宋体"/>
                <w:sz w:val="21"/>
                <w:szCs w:val="21"/>
                <w:vertAlign w:val="baseline"/>
              </w:rPr>
            </w:pPr>
            <w:r>
              <w:rPr>
                <w:rFonts w:hint="eastAsia" w:ascii="宋体" w:hAnsi="宋体" w:eastAsia="宋体" w:cs="宋体"/>
                <w:i w:val="0"/>
                <w:iCs w:val="0"/>
                <w:color w:val="000000"/>
                <w:kern w:val="0"/>
                <w:sz w:val="22"/>
                <w:szCs w:val="22"/>
                <w:u w:val="none"/>
                <w:lang w:val="en-US" w:eastAsia="zh-CN" w:bidi="ar"/>
              </w:rPr>
              <w:t>法定节假日加班费</w:t>
            </w:r>
          </w:p>
        </w:tc>
        <w:tc>
          <w:tcPr>
            <w:tcW w:w="1300" w:type="dxa"/>
            <w:noWrap w:val="0"/>
            <w:vAlign w:val="center"/>
          </w:tcPr>
          <w:p w14:paraId="2F60C676">
            <w:pPr>
              <w:jc w:val="center"/>
              <w:rPr>
                <w:rFonts w:hint="eastAsia" w:ascii="宋体" w:hAnsi="宋体" w:eastAsia="宋体" w:cs="宋体"/>
                <w:sz w:val="21"/>
                <w:szCs w:val="21"/>
                <w:vertAlign w:val="baseline"/>
              </w:rPr>
            </w:pPr>
          </w:p>
        </w:tc>
        <w:tc>
          <w:tcPr>
            <w:tcW w:w="1380" w:type="dxa"/>
            <w:noWrap w:val="0"/>
            <w:vAlign w:val="center"/>
          </w:tcPr>
          <w:p w14:paraId="26A4F9B9">
            <w:pPr>
              <w:keepNext w:val="0"/>
              <w:keepLines w:val="0"/>
              <w:widowControl/>
              <w:suppressLineNumbers w:val="0"/>
              <w:jc w:val="center"/>
              <w:textAlignment w:val="center"/>
              <w:rPr>
                <w:rFonts w:hint="eastAsia" w:ascii="宋体" w:hAnsi="宋体" w:eastAsia="宋体" w:cs="宋体"/>
                <w:sz w:val="21"/>
                <w:szCs w:val="21"/>
                <w:vertAlign w:val="baseline"/>
              </w:rPr>
            </w:pPr>
            <w:r>
              <w:rPr>
                <w:rFonts w:hint="eastAsia" w:ascii="宋体" w:hAnsi="宋体" w:eastAsia="宋体" w:cs="宋体"/>
                <w:i w:val="0"/>
                <w:iCs w:val="0"/>
                <w:color w:val="000000"/>
                <w:kern w:val="0"/>
                <w:sz w:val="22"/>
                <w:szCs w:val="22"/>
                <w:u w:val="none"/>
                <w:lang w:val="en-US" w:eastAsia="zh-CN" w:bidi="ar"/>
              </w:rPr>
              <w:t>4357.24</w:t>
            </w:r>
          </w:p>
        </w:tc>
        <w:tc>
          <w:tcPr>
            <w:tcW w:w="1110" w:type="dxa"/>
            <w:noWrap w:val="0"/>
            <w:vAlign w:val="center"/>
          </w:tcPr>
          <w:p w14:paraId="722E74CC">
            <w:pPr>
              <w:keepNext w:val="0"/>
              <w:keepLines w:val="0"/>
              <w:widowControl/>
              <w:suppressLineNumbers w:val="0"/>
              <w:jc w:val="center"/>
              <w:textAlignment w:val="center"/>
              <w:rPr>
                <w:rFonts w:hint="eastAsia" w:ascii="宋体" w:hAnsi="宋体" w:eastAsia="宋体" w:cs="宋体"/>
                <w:sz w:val="21"/>
                <w:szCs w:val="21"/>
                <w:vertAlign w:val="baseline"/>
              </w:rPr>
            </w:pPr>
            <w:r>
              <w:rPr>
                <w:rFonts w:hint="eastAsia" w:ascii="宋体" w:hAnsi="宋体" w:eastAsia="宋体" w:cs="宋体"/>
                <w:i w:val="0"/>
                <w:iCs w:val="0"/>
                <w:color w:val="000000"/>
                <w:kern w:val="0"/>
                <w:sz w:val="22"/>
                <w:szCs w:val="22"/>
                <w:u w:val="none"/>
                <w:lang w:val="en-US" w:eastAsia="zh-CN" w:bidi="ar"/>
              </w:rPr>
              <w:t>35</w:t>
            </w:r>
          </w:p>
        </w:tc>
        <w:tc>
          <w:tcPr>
            <w:tcW w:w="891" w:type="pct"/>
            <w:noWrap w:val="0"/>
            <w:vAlign w:val="center"/>
          </w:tcPr>
          <w:p w14:paraId="18FBE940">
            <w:pPr>
              <w:jc w:val="center"/>
              <w:rPr>
                <w:rFonts w:hint="eastAsia" w:ascii="宋体" w:hAnsi="宋体" w:eastAsia="宋体" w:cs="宋体"/>
                <w:sz w:val="21"/>
                <w:szCs w:val="21"/>
                <w:vertAlign w:val="baseline"/>
              </w:rPr>
            </w:pPr>
          </w:p>
        </w:tc>
        <w:tc>
          <w:tcPr>
            <w:tcW w:w="701" w:type="pct"/>
            <w:noWrap w:val="0"/>
            <w:vAlign w:val="center"/>
          </w:tcPr>
          <w:p w14:paraId="71662147">
            <w:pPr>
              <w:jc w:val="center"/>
              <w:rPr>
                <w:rFonts w:hint="eastAsia" w:ascii="宋体" w:hAnsi="宋体" w:eastAsia="宋体" w:cs="宋体"/>
                <w:sz w:val="21"/>
                <w:szCs w:val="21"/>
                <w:vertAlign w:val="baseline"/>
              </w:rPr>
            </w:pPr>
          </w:p>
        </w:tc>
      </w:tr>
      <w:tr w14:paraId="42B60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2000" w:type="dxa"/>
            <w:noWrap w:val="0"/>
            <w:vAlign w:val="center"/>
          </w:tcPr>
          <w:p w14:paraId="7AEEE2F2">
            <w:pPr>
              <w:keepNext w:val="0"/>
              <w:keepLines w:val="0"/>
              <w:widowControl/>
              <w:suppressLineNumbers w:val="0"/>
              <w:jc w:val="center"/>
              <w:textAlignment w:val="center"/>
              <w:rPr>
                <w:rFonts w:hint="eastAsia" w:ascii="宋体" w:hAnsi="宋体" w:eastAsia="宋体" w:cs="宋体"/>
                <w:sz w:val="21"/>
                <w:szCs w:val="21"/>
                <w:vertAlign w:val="baseline"/>
              </w:rPr>
            </w:pPr>
            <w:r>
              <w:rPr>
                <w:rFonts w:hint="eastAsia" w:ascii="宋体" w:hAnsi="宋体" w:eastAsia="宋体" w:cs="宋体"/>
                <w:i w:val="0"/>
                <w:iCs w:val="0"/>
                <w:color w:val="000000"/>
                <w:kern w:val="0"/>
                <w:sz w:val="22"/>
                <w:szCs w:val="22"/>
                <w:u w:val="none"/>
                <w:lang w:val="en-US" w:eastAsia="zh-CN" w:bidi="ar"/>
              </w:rPr>
              <w:t>休息日加班费</w:t>
            </w:r>
          </w:p>
        </w:tc>
        <w:tc>
          <w:tcPr>
            <w:tcW w:w="1300" w:type="dxa"/>
            <w:noWrap w:val="0"/>
            <w:vAlign w:val="center"/>
          </w:tcPr>
          <w:p w14:paraId="7EF213C7">
            <w:pPr>
              <w:jc w:val="center"/>
              <w:rPr>
                <w:rFonts w:hint="eastAsia" w:ascii="宋体" w:hAnsi="宋体" w:eastAsia="宋体" w:cs="宋体"/>
                <w:sz w:val="21"/>
                <w:szCs w:val="21"/>
                <w:vertAlign w:val="baseline"/>
              </w:rPr>
            </w:pPr>
          </w:p>
        </w:tc>
        <w:tc>
          <w:tcPr>
            <w:tcW w:w="1380" w:type="dxa"/>
            <w:noWrap w:val="0"/>
            <w:vAlign w:val="center"/>
          </w:tcPr>
          <w:p w14:paraId="73DBA708">
            <w:pPr>
              <w:keepNext w:val="0"/>
              <w:keepLines w:val="0"/>
              <w:widowControl/>
              <w:suppressLineNumbers w:val="0"/>
              <w:jc w:val="center"/>
              <w:textAlignment w:val="center"/>
              <w:rPr>
                <w:rFonts w:hint="eastAsia" w:ascii="宋体" w:hAnsi="宋体" w:eastAsia="宋体" w:cs="宋体"/>
                <w:sz w:val="21"/>
                <w:szCs w:val="21"/>
                <w:vertAlign w:val="baseline"/>
              </w:rPr>
            </w:pPr>
            <w:r>
              <w:rPr>
                <w:rFonts w:hint="eastAsia" w:ascii="宋体" w:hAnsi="宋体" w:eastAsia="宋体" w:cs="宋体"/>
                <w:i w:val="0"/>
                <w:iCs w:val="0"/>
                <w:color w:val="000000"/>
                <w:kern w:val="0"/>
                <w:sz w:val="22"/>
                <w:szCs w:val="22"/>
                <w:u w:val="none"/>
                <w:lang w:val="en-US" w:eastAsia="zh-CN" w:bidi="ar"/>
              </w:rPr>
              <w:t>11619.31</w:t>
            </w:r>
          </w:p>
        </w:tc>
        <w:tc>
          <w:tcPr>
            <w:tcW w:w="1110" w:type="dxa"/>
            <w:noWrap w:val="0"/>
            <w:vAlign w:val="center"/>
          </w:tcPr>
          <w:p w14:paraId="429A0C31">
            <w:pPr>
              <w:keepNext w:val="0"/>
              <w:keepLines w:val="0"/>
              <w:widowControl/>
              <w:suppressLineNumbers w:val="0"/>
              <w:jc w:val="center"/>
              <w:textAlignment w:val="center"/>
              <w:rPr>
                <w:rFonts w:hint="eastAsia" w:ascii="宋体" w:hAnsi="宋体" w:eastAsia="宋体" w:cs="宋体"/>
                <w:sz w:val="21"/>
                <w:szCs w:val="21"/>
                <w:vertAlign w:val="baseline"/>
              </w:rPr>
            </w:pPr>
            <w:r>
              <w:rPr>
                <w:rFonts w:hint="eastAsia" w:ascii="宋体" w:hAnsi="宋体" w:eastAsia="宋体" w:cs="宋体"/>
                <w:i w:val="0"/>
                <w:iCs w:val="0"/>
                <w:color w:val="000000"/>
                <w:kern w:val="0"/>
                <w:sz w:val="22"/>
                <w:szCs w:val="22"/>
                <w:u w:val="none"/>
                <w:lang w:val="en-US" w:eastAsia="zh-CN" w:bidi="ar"/>
              </w:rPr>
              <w:t>35</w:t>
            </w:r>
          </w:p>
        </w:tc>
        <w:tc>
          <w:tcPr>
            <w:tcW w:w="891" w:type="pct"/>
            <w:noWrap w:val="0"/>
            <w:vAlign w:val="center"/>
          </w:tcPr>
          <w:p w14:paraId="0500B5A3">
            <w:pPr>
              <w:jc w:val="center"/>
              <w:rPr>
                <w:rFonts w:hint="eastAsia" w:ascii="宋体" w:hAnsi="宋体" w:eastAsia="宋体" w:cs="宋体"/>
                <w:sz w:val="21"/>
                <w:szCs w:val="21"/>
                <w:vertAlign w:val="baseline"/>
              </w:rPr>
            </w:pPr>
          </w:p>
        </w:tc>
        <w:tc>
          <w:tcPr>
            <w:tcW w:w="701" w:type="pct"/>
            <w:noWrap w:val="0"/>
            <w:vAlign w:val="center"/>
          </w:tcPr>
          <w:p w14:paraId="713465BB">
            <w:pPr>
              <w:jc w:val="center"/>
              <w:rPr>
                <w:rFonts w:hint="eastAsia" w:ascii="宋体" w:hAnsi="宋体" w:eastAsia="宋体" w:cs="宋体"/>
                <w:sz w:val="21"/>
                <w:szCs w:val="21"/>
                <w:vertAlign w:val="baseline"/>
              </w:rPr>
            </w:pPr>
          </w:p>
        </w:tc>
      </w:tr>
      <w:tr w14:paraId="030E4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2000" w:type="dxa"/>
            <w:noWrap w:val="0"/>
            <w:vAlign w:val="center"/>
          </w:tcPr>
          <w:p w14:paraId="611E09FC">
            <w:pPr>
              <w:keepNext w:val="0"/>
              <w:keepLines w:val="0"/>
              <w:widowControl/>
              <w:suppressLineNumbers w:val="0"/>
              <w:jc w:val="center"/>
              <w:textAlignment w:val="center"/>
              <w:rPr>
                <w:rFonts w:hint="eastAsia" w:ascii="宋体" w:hAnsi="宋体" w:eastAsia="宋体" w:cs="宋体"/>
                <w:sz w:val="21"/>
                <w:szCs w:val="21"/>
                <w:vertAlign w:val="baseline"/>
              </w:rPr>
            </w:pPr>
            <w:r>
              <w:rPr>
                <w:rFonts w:hint="eastAsia" w:ascii="宋体" w:hAnsi="宋体" w:eastAsia="宋体" w:cs="宋体"/>
                <w:i w:val="0"/>
                <w:iCs w:val="0"/>
                <w:color w:val="000000"/>
                <w:kern w:val="0"/>
                <w:sz w:val="22"/>
                <w:szCs w:val="22"/>
                <w:u w:val="none"/>
                <w:lang w:val="en-US" w:eastAsia="zh-CN" w:bidi="ar"/>
              </w:rPr>
              <w:t>高温费</w:t>
            </w:r>
          </w:p>
        </w:tc>
        <w:tc>
          <w:tcPr>
            <w:tcW w:w="1300" w:type="dxa"/>
            <w:noWrap w:val="0"/>
            <w:vAlign w:val="center"/>
          </w:tcPr>
          <w:p w14:paraId="25461CE8">
            <w:pPr>
              <w:jc w:val="center"/>
              <w:rPr>
                <w:rFonts w:hint="eastAsia" w:ascii="宋体" w:hAnsi="宋体" w:eastAsia="宋体" w:cs="宋体"/>
                <w:sz w:val="21"/>
                <w:szCs w:val="21"/>
                <w:vertAlign w:val="baseline"/>
              </w:rPr>
            </w:pPr>
          </w:p>
        </w:tc>
        <w:tc>
          <w:tcPr>
            <w:tcW w:w="1380" w:type="dxa"/>
            <w:noWrap w:val="0"/>
            <w:vAlign w:val="center"/>
          </w:tcPr>
          <w:p w14:paraId="042FEF90">
            <w:pPr>
              <w:keepNext w:val="0"/>
              <w:keepLines w:val="0"/>
              <w:widowControl/>
              <w:suppressLineNumbers w:val="0"/>
              <w:jc w:val="center"/>
              <w:textAlignment w:val="center"/>
              <w:rPr>
                <w:rFonts w:hint="eastAsia" w:ascii="宋体" w:hAnsi="宋体" w:eastAsia="宋体" w:cs="宋体"/>
                <w:sz w:val="21"/>
                <w:szCs w:val="21"/>
                <w:vertAlign w:val="baseline"/>
              </w:rPr>
            </w:pPr>
            <w:r>
              <w:rPr>
                <w:rFonts w:hint="eastAsia" w:ascii="宋体" w:hAnsi="宋体" w:eastAsia="宋体" w:cs="宋体"/>
                <w:i w:val="0"/>
                <w:iCs w:val="0"/>
                <w:color w:val="000000"/>
                <w:kern w:val="0"/>
                <w:sz w:val="22"/>
                <w:szCs w:val="22"/>
                <w:u w:val="none"/>
                <w:lang w:val="en-US" w:eastAsia="zh-CN" w:bidi="ar"/>
              </w:rPr>
              <w:t>1600</w:t>
            </w:r>
          </w:p>
        </w:tc>
        <w:tc>
          <w:tcPr>
            <w:tcW w:w="1110" w:type="dxa"/>
            <w:noWrap w:val="0"/>
            <w:vAlign w:val="center"/>
          </w:tcPr>
          <w:p w14:paraId="27E4A684">
            <w:pPr>
              <w:keepNext w:val="0"/>
              <w:keepLines w:val="0"/>
              <w:widowControl/>
              <w:suppressLineNumbers w:val="0"/>
              <w:jc w:val="center"/>
              <w:textAlignment w:val="center"/>
              <w:rPr>
                <w:rFonts w:hint="eastAsia" w:ascii="宋体" w:hAnsi="宋体" w:eastAsia="宋体" w:cs="宋体"/>
                <w:sz w:val="21"/>
                <w:szCs w:val="21"/>
                <w:vertAlign w:val="baseline"/>
              </w:rPr>
            </w:pPr>
            <w:r>
              <w:rPr>
                <w:rFonts w:hint="eastAsia" w:ascii="宋体" w:hAnsi="宋体" w:eastAsia="宋体" w:cs="宋体"/>
                <w:i w:val="0"/>
                <w:iCs w:val="0"/>
                <w:color w:val="000000"/>
                <w:kern w:val="0"/>
                <w:sz w:val="22"/>
                <w:szCs w:val="22"/>
                <w:u w:val="none"/>
                <w:lang w:val="en-US" w:eastAsia="zh-CN" w:bidi="ar"/>
              </w:rPr>
              <w:t>35</w:t>
            </w:r>
          </w:p>
        </w:tc>
        <w:tc>
          <w:tcPr>
            <w:tcW w:w="891" w:type="pct"/>
            <w:noWrap w:val="0"/>
            <w:vAlign w:val="center"/>
          </w:tcPr>
          <w:p w14:paraId="1D4677D4">
            <w:pPr>
              <w:jc w:val="center"/>
              <w:rPr>
                <w:rFonts w:hint="eastAsia" w:ascii="宋体" w:hAnsi="宋体" w:eastAsia="宋体" w:cs="宋体"/>
                <w:sz w:val="21"/>
                <w:szCs w:val="21"/>
                <w:vertAlign w:val="baseline"/>
              </w:rPr>
            </w:pPr>
          </w:p>
        </w:tc>
        <w:tc>
          <w:tcPr>
            <w:tcW w:w="701" w:type="pct"/>
            <w:noWrap w:val="0"/>
            <w:vAlign w:val="center"/>
          </w:tcPr>
          <w:p w14:paraId="193726CC">
            <w:pPr>
              <w:jc w:val="center"/>
              <w:rPr>
                <w:rFonts w:hint="eastAsia" w:ascii="宋体" w:hAnsi="宋体" w:eastAsia="宋体" w:cs="宋体"/>
                <w:sz w:val="21"/>
                <w:szCs w:val="21"/>
                <w:vertAlign w:val="baseline"/>
              </w:rPr>
            </w:pPr>
          </w:p>
        </w:tc>
      </w:tr>
      <w:tr w14:paraId="732A3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2000" w:type="dxa"/>
            <w:noWrap w:val="0"/>
            <w:vAlign w:val="center"/>
          </w:tcPr>
          <w:p w14:paraId="503497D8">
            <w:pPr>
              <w:keepNext w:val="0"/>
              <w:keepLines w:val="0"/>
              <w:widowControl/>
              <w:suppressLineNumbers w:val="0"/>
              <w:jc w:val="center"/>
              <w:textAlignment w:val="center"/>
              <w:rPr>
                <w:rFonts w:hint="eastAsia" w:ascii="宋体" w:hAnsi="宋体" w:eastAsia="宋体" w:cs="宋体"/>
                <w:sz w:val="21"/>
                <w:szCs w:val="21"/>
                <w:vertAlign w:val="baseline"/>
                <w:lang w:eastAsia="zh-CN"/>
              </w:rPr>
            </w:pPr>
            <w:r>
              <w:rPr>
                <w:rFonts w:hint="eastAsia" w:ascii="宋体" w:hAnsi="宋体" w:eastAsia="宋体" w:cs="宋体"/>
                <w:i w:val="0"/>
                <w:iCs w:val="0"/>
                <w:color w:val="000000"/>
                <w:kern w:val="0"/>
                <w:sz w:val="22"/>
                <w:szCs w:val="22"/>
                <w:u w:val="none"/>
                <w:lang w:val="en-US" w:eastAsia="zh-CN" w:bidi="ar"/>
              </w:rPr>
              <w:t>福利（三节气福利）</w:t>
            </w:r>
          </w:p>
        </w:tc>
        <w:tc>
          <w:tcPr>
            <w:tcW w:w="1300" w:type="dxa"/>
            <w:noWrap w:val="0"/>
            <w:vAlign w:val="center"/>
          </w:tcPr>
          <w:p w14:paraId="2C19388A">
            <w:pPr>
              <w:jc w:val="center"/>
              <w:rPr>
                <w:rFonts w:hint="eastAsia" w:ascii="宋体" w:hAnsi="宋体" w:eastAsia="宋体" w:cs="宋体"/>
                <w:sz w:val="21"/>
                <w:szCs w:val="21"/>
                <w:vertAlign w:val="baseline"/>
              </w:rPr>
            </w:pPr>
          </w:p>
        </w:tc>
        <w:tc>
          <w:tcPr>
            <w:tcW w:w="1380" w:type="dxa"/>
            <w:noWrap w:val="0"/>
            <w:vAlign w:val="center"/>
          </w:tcPr>
          <w:p w14:paraId="3DA58CA0">
            <w:pPr>
              <w:keepNext w:val="0"/>
              <w:keepLines w:val="0"/>
              <w:widowControl/>
              <w:suppressLineNumbers w:val="0"/>
              <w:jc w:val="center"/>
              <w:textAlignment w:val="center"/>
              <w:rPr>
                <w:rFonts w:hint="eastAsia" w:ascii="宋体" w:hAnsi="宋体" w:eastAsia="宋体" w:cs="宋体"/>
                <w:sz w:val="21"/>
                <w:szCs w:val="21"/>
                <w:vertAlign w:val="baseline"/>
              </w:rPr>
            </w:pPr>
          </w:p>
        </w:tc>
        <w:tc>
          <w:tcPr>
            <w:tcW w:w="1110" w:type="dxa"/>
            <w:noWrap w:val="0"/>
            <w:vAlign w:val="center"/>
          </w:tcPr>
          <w:p w14:paraId="596E76DD">
            <w:pPr>
              <w:keepNext w:val="0"/>
              <w:keepLines w:val="0"/>
              <w:widowControl/>
              <w:suppressLineNumbers w:val="0"/>
              <w:jc w:val="center"/>
              <w:textAlignment w:val="center"/>
              <w:rPr>
                <w:rFonts w:hint="default" w:ascii="宋体" w:hAnsi="宋体" w:eastAsia="宋体" w:cs="宋体"/>
                <w:sz w:val="21"/>
                <w:szCs w:val="21"/>
                <w:vertAlign w:val="baseline"/>
                <w:lang w:val="en-US" w:eastAsia="zh-CN"/>
              </w:rPr>
            </w:pPr>
            <w:r>
              <w:rPr>
                <w:rFonts w:hint="eastAsia" w:ascii="宋体" w:hAnsi="宋体" w:eastAsia="宋体" w:cs="宋体"/>
                <w:i w:val="0"/>
                <w:iCs w:val="0"/>
                <w:color w:val="000000"/>
                <w:kern w:val="0"/>
                <w:sz w:val="22"/>
                <w:szCs w:val="22"/>
                <w:u w:val="none"/>
                <w:lang w:val="en-US" w:eastAsia="zh-CN" w:bidi="ar"/>
              </w:rPr>
              <w:t>35</w:t>
            </w:r>
          </w:p>
        </w:tc>
        <w:tc>
          <w:tcPr>
            <w:tcW w:w="891" w:type="pct"/>
            <w:noWrap w:val="0"/>
            <w:vAlign w:val="center"/>
          </w:tcPr>
          <w:p w14:paraId="138CDC6A">
            <w:pPr>
              <w:jc w:val="center"/>
              <w:rPr>
                <w:rFonts w:hint="eastAsia" w:ascii="宋体" w:hAnsi="宋体" w:eastAsia="宋体" w:cs="宋体"/>
                <w:sz w:val="21"/>
                <w:szCs w:val="21"/>
                <w:vertAlign w:val="baseline"/>
              </w:rPr>
            </w:pPr>
          </w:p>
        </w:tc>
        <w:tc>
          <w:tcPr>
            <w:tcW w:w="701" w:type="pct"/>
            <w:noWrap w:val="0"/>
            <w:vAlign w:val="center"/>
          </w:tcPr>
          <w:p w14:paraId="562DFAE1">
            <w:pPr>
              <w:jc w:val="center"/>
              <w:rPr>
                <w:rFonts w:hint="eastAsia" w:ascii="宋体" w:hAnsi="宋体" w:eastAsia="宋体" w:cs="宋体"/>
                <w:sz w:val="21"/>
                <w:szCs w:val="21"/>
                <w:vertAlign w:val="baseline"/>
              </w:rPr>
            </w:pPr>
          </w:p>
        </w:tc>
      </w:tr>
      <w:tr w14:paraId="317FB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2000" w:type="dxa"/>
            <w:noWrap w:val="0"/>
            <w:vAlign w:val="center"/>
          </w:tcPr>
          <w:p w14:paraId="6CA50BB1">
            <w:pPr>
              <w:keepNext w:val="0"/>
              <w:keepLines w:val="0"/>
              <w:widowControl/>
              <w:suppressLineNumbers w:val="0"/>
              <w:jc w:val="center"/>
              <w:textAlignment w:val="center"/>
              <w:rPr>
                <w:rFonts w:hint="eastAsia" w:ascii="宋体" w:hAnsi="宋体" w:eastAsia="宋体" w:cs="宋体"/>
                <w:sz w:val="21"/>
                <w:szCs w:val="21"/>
                <w:vertAlign w:val="baseline"/>
              </w:rPr>
            </w:pPr>
            <w:r>
              <w:rPr>
                <w:rFonts w:hint="eastAsia" w:ascii="宋体" w:hAnsi="宋体" w:eastAsia="宋体" w:cs="宋体"/>
                <w:i w:val="0"/>
                <w:iCs w:val="0"/>
                <w:color w:val="000000"/>
                <w:kern w:val="0"/>
                <w:sz w:val="22"/>
                <w:szCs w:val="22"/>
                <w:u w:val="none"/>
                <w:lang w:val="en-US" w:eastAsia="zh-CN" w:bidi="ar"/>
              </w:rPr>
              <w:t>体检费、服装费</w:t>
            </w:r>
          </w:p>
        </w:tc>
        <w:tc>
          <w:tcPr>
            <w:tcW w:w="1300" w:type="dxa"/>
            <w:noWrap w:val="0"/>
            <w:vAlign w:val="center"/>
          </w:tcPr>
          <w:p w14:paraId="5A595007">
            <w:pPr>
              <w:jc w:val="center"/>
              <w:rPr>
                <w:rFonts w:hint="eastAsia" w:ascii="宋体" w:hAnsi="宋体" w:eastAsia="宋体" w:cs="宋体"/>
                <w:sz w:val="21"/>
                <w:szCs w:val="21"/>
                <w:vertAlign w:val="baseline"/>
              </w:rPr>
            </w:pPr>
          </w:p>
        </w:tc>
        <w:tc>
          <w:tcPr>
            <w:tcW w:w="1380" w:type="dxa"/>
            <w:noWrap w:val="0"/>
            <w:vAlign w:val="center"/>
          </w:tcPr>
          <w:p w14:paraId="335EC6F2">
            <w:pPr>
              <w:keepNext w:val="0"/>
              <w:keepLines w:val="0"/>
              <w:widowControl/>
              <w:suppressLineNumbers w:val="0"/>
              <w:jc w:val="center"/>
              <w:textAlignment w:val="center"/>
              <w:rPr>
                <w:rFonts w:hint="eastAsia" w:ascii="宋体" w:hAnsi="宋体" w:eastAsia="宋体" w:cs="宋体"/>
                <w:sz w:val="21"/>
                <w:szCs w:val="21"/>
                <w:vertAlign w:val="baseline"/>
              </w:rPr>
            </w:pPr>
          </w:p>
        </w:tc>
        <w:tc>
          <w:tcPr>
            <w:tcW w:w="1110" w:type="dxa"/>
            <w:noWrap w:val="0"/>
            <w:vAlign w:val="center"/>
          </w:tcPr>
          <w:p w14:paraId="25C83867">
            <w:pPr>
              <w:keepNext w:val="0"/>
              <w:keepLines w:val="0"/>
              <w:widowControl/>
              <w:suppressLineNumbers w:val="0"/>
              <w:jc w:val="center"/>
              <w:textAlignment w:val="center"/>
              <w:rPr>
                <w:rFonts w:hint="default" w:ascii="宋体" w:hAnsi="宋体" w:eastAsia="宋体" w:cs="宋体"/>
                <w:sz w:val="21"/>
                <w:szCs w:val="21"/>
                <w:vertAlign w:val="baseline"/>
                <w:lang w:val="en-US" w:eastAsia="zh-CN"/>
              </w:rPr>
            </w:pPr>
            <w:r>
              <w:rPr>
                <w:rFonts w:hint="eastAsia" w:ascii="宋体" w:hAnsi="宋体" w:eastAsia="宋体" w:cs="宋体"/>
                <w:i w:val="0"/>
                <w:iCs w:val="0"/>
                <w:color w:val="000000"/>
                <w:kern w:val="0"/>
                <w:sz w:val="22"/>
                <w:szCs w:val="22"/>
                <w:u w:val="none"/>
                <w:lang w:val="en-US" w:eastAsia="zh-CN" w:bidi="ar"/>
              </w:rPr>
              <w:t>35</w:t>
            </w:r>
          </w:p>
        </w:tc>
        <w:tc>
          <w:tcPr>
            <w:tcW w:w="891" w:type="pct"/>
            <w:noWrap w:val="0"/>
            <w:vAlign w:val="center"/>
          </w:tcPr>
          <w:p w14:paraId="5DD628DB">
            <w:pPr>
              <w:jc w:val="center"/>
              <w:rPr>
                <w:rFonts w:hint="eastAsia" w:ascii="宋体" w:hAnsi="宋体" w:eastAsia="宋体" w:cs="宋体"/>
                <w:sz w:val="21"/>
                <w:szCs w:val="21"/>
                <w:vertAlign w:val="baseline"/>
              </w:rPr>
            </w:pPr>
          </w:p>
        </w:tc>
        <w:tc>
          <w:tcPr>
            <w:tcW w:w="701" w:type="pct"/>
            <w:noWrap w:val="0"/>
            <w:vAlign w:val="center"/>
          </w:tcPr>
          <w:p w14:paraId="2315FCAD">
            <w:pPr>
              <w:jc w:val="center"/>
              <w:rPr>
                <w:rFonts w:hint="eastAsia" w:ascii="宋体" w:hAnsi="宋体" w:eastAsia="宋体" w:cs="宋体"/>
                <w:sz w:val="21"/>
                <w:szCs w:val="21"/>
                <w:vertAlign w:val="baseline"/>
              </w:rPr>
            </w:pPr>
          </w:p>
        </w:tc>
      </w:tr>
      <w:tr w14:paraId="3D1B4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2000" w:type="dxa"/>
            <w:noWrap w:val="0"/>
            <w:vAlign w:val="center"/>
          </w:tcPr>
          <w:p w14:paraId="18946170">
            <w:pPr>
              <w:keepNext w:val="0"/>
              <w:keepLines w:val="0"/>
              <w:widowControl/>
              <w:suppressLineNumbers w:val="0"/>
              <w:jc w:val="center"/>
              <w:textAlignment w:val="center"/>
              <w:rPr>
                <w:rFonts w:hint="eastAsia" w:ascii="宋体" w:hAnsi="宋体" w:eastAsia="宋体" w:cs="宋体"/>
                <w:sz w:val="21"/>
                <w:szCs w:val="21"/>
                <w:vertAlign w:val="baseline"/>
              </w:rPr>
            </w:pPr>
            <w:r>
              <w:rPr>
                <w:rFonts w:hint="eastAsia" w:ascii="宋体" w:hAnsi="宋体" w:eastAsia="宋体" w:cs="宋体"/>
                <w:i w:val="0"/>
                <w:iCs w:val="0"/>
                <w:color w:val="000000"/>
                <w:kern w:val="0"/>
                <w:sz w:val="22"/>
                <w:szCs w:val="22"/>
                <w:u w:val="none"/>
                <w:lang w:val="en-US" w:eastAsia="zh-CN" w:bidi="ar"/>
              </w:rPr>
              <w:t>皮卡车(折旧算)</w:t>
            </w:r>
          </w:p>
        </w:tc>
        <w:tc>
          <w:tcPr>
            <w:tcW w:w="1300" w:type="dxa"/>
            <w:noWrap w:val="0"/>
            <w:vAlign w:val="center"/>
          </w:tcPr>
          <w:p w14:paraId="58355B2D">
            <w:pPr>
              <w:jc w:val="center"/>
              <w:rPr>
                <w:rFonts w:hint="eastAsia" w:ascii="宋体" w:hAnsi="宋体" w:eastAsia="宋体" w:cs="宋体"/>
                <w:sz w:val="21"/>
                <w:szCs w:val="21"/>
                <w:vertAlign w:val="baseline"/>
              </w:rPr>
            </w:pPr>
          </w:p>
        </w:tc>
        <w:tc>
          <w:tcPr>
            <w:tcW w:w="1380" w:type="dxa"/>
            <w:noWrap w:val="0"/>
            <w:vAlign w:val="center"/>
          </w:tcPr>
          <w:p w14:paraId="0F1AF75F">
            <w:pPr>
              <w:keepNext w:val="0"/>
              <w:keepLines w:val="0"/>
              <w:widowControl/>
              <w:suppressLineNumbers w:val="0"/>
              <w:jc w:val="center"/>
              <w:textAlignment w:val="center"/>
              <w:rPr>
                <w:rFonts w:hint="eastAsia" w:ascii="宋体" w:hAnsi="宋体" w:eastAsia="宋体" w:cs="宋体"/>
                <w:sz w:val="21"/>
                <w:szCs w:val="21"/>
                <w:vertAlign w:val="baseline"/>
              </w:rPr>
            </w:pPr>
          </w:p>
        </w:tc>
        <w:tc>
          <w:tcPr>
            <w:tcW w:w="1110" w:type="dxa"/>
            <w:noWrap w:val="0"/>
            <w:vAlign w:val="center"/>
          </w:tcPr>
          <w:p w14:paraId="6FC7AD10">
            <w:pPr>
              <w:keepNext w:val="0"/>
              <w:keepLines w:val="0"/>
              <w:widowControl/>
              <w:suppressLineNumbers w:val="0"/>
              <w:jc w:val="center"/>
              <w:textAlignment w:val="center"/>
              <w:rPr>
                <w:rFonts w:hint="eastAsia" w:ascii="宋体" w:hAnsi="宋体" w:eastAsia="宋体" w:cs="宋体"/>
                <w:sz w:val="21"/>
                <w:szCs w:val="21"/>
                <w:vertAlign w:val="baseline"/>
              </w:rPr>
            </w:pPr>
            <w:r>
              <w:rPr>
                <w:rFonts w:hint="eastAsia" w:ascii="宋体" w:hAnsi="宋体" w:eastAsia="宋体" w:cs="宋体"/>
                <w:i w:val="0"/>
                <w:iCs w:val="0"/>
                <w:color w:val="000000"/>
                <w:kern w:val="0"/>
                <w:sz w:val="22"/>
                <w:szCs w:val="22"/>
                <w:u w:val="none"/>
                <w:lang w:val="en-US" w:eastAsia="zh-CN" w:bidi="ar"/>
              </w:rPr>
              <w:t>1</w:t>
            </w:r>
          </w:p>
        </w:tc>
        <w:tc>
          <w:tcPr>
            <w:tcW w:w="891" w:type="pct"/>
            <w:noWrap w:val="0"/>
            <w:vAlign w:val="center"/>
          </w:tcPr>
          <w:p w14:paraId="7ACC897C">
            <w:pPr>
              <w:jc w:val="center"/>
              <w:rPr>
                <w:rFonts w:hint="eastAsia" w:ascii="宋体" w:hAnsi="宋体" w:eastAsia="宋体" w:cs="宋体"/>
                <w:sz w:val="21"/>
                <w:szCs w:val="21"/>
                <w:vertAlign w:val="baseline"/>
              </w:rPr>
            </w:pPr>
          </w:p>
        </w:tc>
        <w:tc>
          <w:tcPr>
            <w:tcW w:w="701" w:type="pct"/>
            <w:noWrap w:val="0"/>
            <w:vAlign w:val="center"/>
          </w:tcPr>
          <w:p w14:paraId="604BA84C">
            <w:pPr>
              <w:jc w:val="center"/>
              <w:rPr>
                <w:rFonts w:hint="eastAsia" w:ascii="宋体" w:hAnsi="宋体" w:eastAsia="宋体" w:cs="宋体"/>
                <w:sz w:val="21"/>
                <w:szCs w:val="21"/>
                <w:vertAlign w:val="baseline"/>
              </w:rPr>
            </w:pPr>
          </w:p>
        </w:tc>
      </w:tr>
      <w:tr w14:paraId="7EAB9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2000" w:type="dxa"/>
            <w:noWrap w:val="0"/>
            <w:vAlign w:val="center"/>
          </w:tcPr>
          <w:p w14:paraId="1504B26A">
            <w:pPr>
              <w:keepNext w:val="0"/>
              <w:keepLines w:val="0"/>
              <w:widowControl/>
              <w:suppressLineNumbers w:val="0"/>
              <w:jc w:val="center"/>
              <w:textAlignment w:val="center"/>
              <w:rPr>
                <w:rFonts w:hint="eastAsia" w:ascii="宋体" w:hAnsi="宋体" w:eastAsia="宋体" w:cs="宋体"/>
                <w:sz w:val="21"/>
                <w:szCs w:val="21"/>
                <w:vertAlign w:val="baseline"/>
                <w:lang w:eastAsia="zh-CN"/>
              </w:rPr>
            </w:pPr>
            <w:r>
              <w:rPr>
                <w:rFonts w:hint="eastAsia" w:ascii="宋体" w:hAnsi="宋体" w:eastAsia="宋体" w:cs="宋体"/>
                <w:i w:val="0"/>
                <w:iCs w:val="0"/>
                <w:color w:val="000000"/>
                <w:kern w:val="0"/>
                <w:sz w:val="22"/>
                <w:szCs w:val="22"/>
                <w:u w:val="none"/>
                <w:lang w:val="en-US" w:eastAsia="zh-CN" w:bidi="ar"/>
              </w:rPr>
              <w:t>面包车(折旧算)</w:t>
            </w:r>
          </w:p>
        </w:tc>
        <w:tc>
          <w:tcPr>
            <w:tcW w:w="1300" w:type="dxa"/>
            <w:noWrap w:val="0"/>
            <w:vAlign w:val="center"/>
          </w:tcPr>
          <w:p w14:paraId="11A831EA">
            <w:pPr>
              <w:jc w:val="center"/>
              <w:rPr>
                <w:rFonts w:hint="eastAsia" w:ascii="宋体" w:hAnsi="宋体" w:eastAsia="宋体" w:cs="宋体"/>
                <w:sz w:val="21"/>
                <w:szCs w:val="21"/>
                <w:vertAlign w:val="baseline"/>
              </w:rPr>
            </w:pPr>
          </w:p>
        </w:tc>
        <w:tc>
          <w:tcPr>
            <w:tcW w:w="1380" w:type="dxa"/>
            <w:noWrap w:val="0"/>
            <w:vAlign w:val="center"/>
          </w:tcPr>
          <w:p w14:paraId="02DFAC4A">
            <w:pPr>
              <w:keepNext w:val="0"/>
              <w:keepLines w:val="0"/>
              <w:widowControl/>
              <w:suppressLineNumbers w:val="0"/>
              <w:jc w:val="center"/>
              <w:textAlignment w:val="center"/>
              <w:rPr>
                <w:rFonts w:hint="eastAsia" w:ascii="宋体" w:hAnsi="宋体" w:eastAsia="宋体" w:cs="宋体"/>
                <w:sz w:val="21"/>
                <w:szCs w:val="21"/>
                <w:vertAlign w:val="baseline"/>
              </w:rPr>
            </w:pPr>
          </w:p>
        </w:tc>
        <w:tc>
          <w:tcPr>
            <w:tcW w:w="1110" w:type="dxa"/>
            <w:noWrap w:val="0"/>
            <w:vAlign w:val="center"/>
          </w:tcPr>
          <w:p w14:paraId="2C8A7954">
            <w:pPr>
              <w:keepNext w:val="0"/>
              <w:keepLines w:val="0"/>
              <w:widowControl/>
              <w:suppressLineNumbers w:val="0"/>
              <w:jc w:val="center"/>
              <w:textAlignment w:val="center"/>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891" w:type="pct"/>
            <w:noWrap w:val="0"/>
            <w:vAlign w:val="center"/>
          </w:tcPr>
          <w:p w14:paraId="7E89E4D3">
            <w:pPr>
              <w:jc w:val="center"/>
              <w:rPr>
                <w:rFonts w:hint="eastAsia" w:ascii="宋体" w:hAnsi="宋体" w:eastAsia="宋体" w:cs="宋体"/>
                <w:sz w:val="21"/>
                <w:szCs w:val="21"/>
                <w:vertAlign w:val="baseline"/>
              </w:rPr>
            </w:pPr>
          </w:p>
        </w:tc>
        <w:tc>
          <w:tcPr>
            <w:tcW w:w="701" w:type="pct"/>
            <w:noWrap w:val="0"/>
            <w:vAlign w:val="center"/>
          </w:tcPr>
          <w:p w14:paraId="2740B616">
            <w:pPr>
              <w:jc w:val="center"/>
              <w:rPr>
                <w:rFonts w:hint="eastAsia" w:ascii="宋体" w:hAnsi="宋体" w:eastAsia="宋体" w:cs="宋体"/>
                <w:sz w:val="21"/>
                <w:szCs w:val="21"/>
                <w:vertAlign w:val="baseline"/>
              </w:rPr>
            </w:pPr>
          </w:p>
        </w:tc>
      </w:tr>
      <w:tr w14:paraId="337CC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2000" w:type="dxa"/>
            <w:noWrap w:val="0"/>
            <w:vAlign w:val="center"/>
          </w:tcPr>
          <w:p w14:paraId="2307D5EE">
            <w:pPr>
              <w:keepNext w:val="0"/>
              <w:keepLines w:val="0"/>
              <w:widowControl/>
              <w:suppressLineNumbers w:val="0"/>
              <w:jc w:val="center"/>
              <w:textAlignment w:val="center"/>
              <w:rPr>
                <w:rFonts w:hint="eastAsia" w:ascii="宋体" w:hAnsi="宋体" w:eastAsia="宋体" w:cs="宋体"/>
                <w:sz w:val="21"/>
                <w:szCs w:val="21"/>
                <w:vertAlign w:val="baseline"/>
              </w:rPr>
            </w:pPr>
            <w:r>
              <w:rPr>
                <w:rFonts w:hint="eastAsia" w:ascii="宋体" w:hAnsi="宋体" w:eastAsia="宋体" w:cs="宋体"/>
                <w:i w:val="0"/>
                <w:iCs w:val="0"/>
                <w:color w:val="000000"/>
                <w:kern w:val="0"/>
                <w:sz w:val="22"/>
                <w:szCs w:val="22"/>
                <w:u w:val="none"/>
                <w:lang w:val="en-US" w:eastAsia="zh-CN" w:bidi="ar"/>
              </w:rPr>
              <w:t>对讲执法记仪</w:t>
            </w:r>
          </w:p>
        </w:tc>
        <w:tc>
          <w:tcPr>
            <w:tcW w:w="1300" w:type="dxa"/>
            <w:noWrap w:val="0"/>
            <w:vAlign w:val="center"/>
          </w:tcPr>
          <w:p w14:paraId="56BA6E8C">
            <w:pPr>
              <w:jc w:val="center"/>
              <w:rPr>
                <w:rFonts w:hint="eastAsia" w:ascii="宋体" w:hAnsi="宋体" w:eastAsia="宋体" w:cs="宋体"/>
                <w:sz w:val="21"/>
                <w:szCs w:val="21"/>
                <w:vertAlign w:val="baseline"/>
              </w:rPr>
            </w:pPr>
          </w:p>
        </w:tc>
        <w:tc>
          <w:tcPr>
            <w:tcW w:w="1380" w:type="dxa"/>
            <w:noWrap w:val="0"/>
            <w:vAlign w:val="center"/>
          </w:tcPr>
          <w:p w14:paraId="2F81788A">
            <w:pPr>
              <w:keepNext w:val="0"/>
              <w:keepLines w:val="0"/>
              <w:widowControl/>
              <w:suppressLineNumbers w:val="0"/>
              <w:jc w:val="center"/>
              <w:textAlignment w:val="center"/>
              <w:rPr>
                <w:rFonts w:hint="eastAsia" w:ascii="宋体" w:hAnsi="宋体" w:eastAsia="宋体" w:cs="宋体"/>
                <w:sz w:val="21"/>
                <w:szCs w:val="21"/>
                <w:vertAlign w:val="baseline"/>
              </w:rPr>
            </w:pPr>
          </w:p>
        </w:tc>
        <w:tc>
          <w:tcPr>
            <w:tcW w:w="1110" w:type="dxa"/>
            <w:noWrap w:val="0"/>
            <w:vAlign w:val="center"/>
          </w:tcPr>
          <w:p w14:paraId="0FA54929">
            <w:pPr>
              <w:keepNext w:val="0"/>
              <w:keepLines w:val="0"/>
              <w:widowControl/>
              <w:suppressLineNumbers w:val="0"/>
              <w:jc w:val="center"/>
              <w:textAlignment w:val="center"/>
              <w:rPr>
                <w:rFonts w:hint="default" w:ascii="宋体" w:hAnsi="宋体" w:eastAsia="宋体" w:cs="宋体"/>
                <w:sz w:val="21"/>
                <w:szCs w:val="21"/>
                <w:vertAlign w:val="baseline"/>
                <w:lang w:val="en-US" w:eastAsia="zh-CN"/>
              </w:rPr>
            </w:pPr>
            <w:r>
              <w:rPr>
                <w:rFonts w:hint="eastAsia" w:ascii="宋体" w:hAnsi="宋体" w:eastAsia="宋体" w:cs="宋体"/>
                <w:i w:val="0"/>
                <w:iCs w:val="0"/>
                <w:color w:val="000000"/>
                <w:kern w:val="0"/>
                <w:sz w:val="22"/>
                <w:szCs w:val="22"/>
                <w:u w:val="none"/>
                <w:lang w:val="en-US" w:eastAsia="zh-CN" w:bidi="ar"/>
              </w:rPr>
              <w:t>35</w:t>
            </w:r>
          </w:p>
        </w:tc>
        <w:tc>
          <w:tcPr>
            <w:tcW w:w="891" w:type="pct"/>
            <w:noWrap w:val="0"/>
            <w:vAlign w:val="center"/>
          </w:tcPr>
          <w:p w14:paraId="0D4B8809">
            <w:pPr>
              <w:jc w:val="center"/>
              <w:rPr>
                <w:rFonts w:hint="eastAsia" w:ascii="宋体" w:hAnsi="宋体" w:eastAsia="宋体" w:cs="宋体"/>
                <w:sz w:val="21"/>
                <w:szCs w:val="21"/>
                <w:vertAlign w:val="baseline"/>
              </w:rPr>
            </w:pPr>
          </w:p>
        </w:tc>
        <w:tc>
          <w:tcPr>
            <w:tcW w:w="701" w:type="pct"/>
            <w:noWrap w:val="0"/>
            <w:vAlign w:val="center"/>
          </w:tcPr>
          <w:p w14:paraId="45E33811">
            <w:pPr>
              <w:jc w:val="center"/>
              <w:rPr>
                <w:rFonts w:hint="eastAsia" w:ascii="宋体" w:hAnsi="宋体" w:eastAsia="宋体" w:cs="宋体"/>
                <w:sz w:val="21"/>
                <w:szCs w:val="21"/>
                <w:vertAlign w:val="baseline"/>
              </w:rPr>
            </w:pPr>
          </w:p>
        </w:tc>
      </w:tr>
      <w:tr w14:paraId="49451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2000" w:type="dxa"/>
            <w:noWrap w:val="0"/>
            <w:vAlign w:val="center"/>
          </w:tcPr>
          <w:p w14:paraId="058D3D16">
            <w:pPr>
              <w:keepNext w:val="0"/>
              <w:keepLines w:val="0"/>
              <w:widowControl/>
              <w:suppressLineNumbers w:val="0"/>
              <w:jc w:val="center"/>
              <w:textAlignment w:val="center"/>
              <w:rPr>
                <w:rFonts w:hint="eastAsia" w:ascii="宋体" w:hAnsi="宋体" w:eastAsia="宋体" w:cs="宋体"/>
                <w:sz w:val="21"/>
                <w:szCs w:val="21"/>
                <w:vertAlign w:val="baseline"/>
              </w:rPr>
            </w:pPr>
            <w:r>
              <w:rPr>
                <w:rFonts w:hint="eastAsia" w:ascii="宋体" w:hAnsi="宋体" w:eastAsia="宋体" w:cs="宋体"/>
                <w:i w:val="0"/>
                <w:iCs w:val="0"/>
                <w:color w:val="000000"/>
                <w:kern w:val="0"/>
                <w:sz w:val="22"/>
                <w:szCs w:val="22"/>
                <w:u w:val="none"/>
                <w:lang w:val="en-US" w:eastAsia="zh-CN" w:bidi="ar"/>
              </w:rPr>
              <w:t>二轮电动车</w:t>
            </w:r>
          </w:p>
        </w:tc>
        <w:tc>
          <w:tcPr>
            <w:tcW w:w="1300" w:type="dxa"/>
            <w:noWrap w:val="0"/>
            <w:vAlign w:val="center"/>
          </w:tcPr>
          <w:p w14:paraId="4C043602">
            <w:pPr>
              <w:jc w:val="center"/>
              <w:rPr>
                <w:rFonts w:hint="eastAsia" w:ascii="宋体" w:hAnsi="宋体" w:eastAsia="宋体" w:cs="宋体"/>
                <w:sz w:val="21"/>
                <w:szCs w:val="21"/>
                <w:vertAlign w:val="baseline"/>
              </w:rPr>
            </w:pPr>
          </w:p>
        </w:tc>
        <w:tc>
          <w:tcPr>
            <w:tcW w:w="1380" w:type="dxa"/>
            <w:noWrap w:val="0"/>
            <w:vAlign w:val="center"/>
          </w:tcPr>
          <w:p w14:paraId="01DC230D">
            <w:pPr>
              <w:keepNext w:val="0"/>
              <w:keepLines w:val="0"/>
              <w:widowControl/>
              <w:suppressLineNumbers w:val="0"/>
              <w:jc w:val="center"/>
              <w:textAlignment w:val="center"/>
              <w:rPr>
                <w:rFonts w:hint="eastAsia" w:ascii="宋体" w:hAnsi="宋体" w:eastAsia="宋体" w:cs="宋体"/>
                <w:sz w:val="21"/>
                <w:szCs w:val="21"/>
                <w:vertAlign w:val="baseline"/>
              </w:rPr>
            </w:pPr>
          </w:p>
        </w:tc>
        <w:tc>
          <w:tcPr>
            <w:tcW w:w="1110" w:type="dxa"/>
            <w:noWrap w:val="0"/>
            <w:vAlign w:val="center"/>
          </w:tcPr>
          <w:p w14:paraId="5E0B01BE">
            <w:pPr>
              <w:keepNext w:val="0"/>
              <w:keepLines w:val="0"/>
              <w:widowControl/>
              <w:suppressLineNumbers w:val="0"/>
              <w:jc w:val="center"/>
              <w:textAlignment w:val="center"/>
              <w:rPr>
                <w:rFonts w:hint="default" w:ascii="宋体" w:hAnsi="宋体" w:eastAsia="宋体" w:cs="宋体"/>
                <w:sz w:val="21"/>
                <w:szCs w:val="21"/>
                <w:vertAlign w:val="baseline"/>
                <w:lang w:val="en-US" w:eastAsia="zh-CN"/>
              </w:rPr>
            </w:pPr>
            <w:r>
              <w:rPr>
                <w:rFonts w:hint="eastAsia" w:ascii="宋体" w:hAnsi="宋体" w:eastAsia="宋体" w:cs="宋体"/>
                <w:i w:val="0"/>
                <w:iCs w:val="0"/>
                <w:color w:val="000000"/>
                <w:kern w:val="0"/>
                <w:sz w:val="22"/>
                <w:szCs w:val="22"/>
                <w:u w:val="none"/>
                <w:lang w:val="en-US" w:eastAsia="zh-CN" w:bidi="ar"/>
              </w:rPr>
              <w:t>30</w:t>
            </w:r>
          </w:p>
        </w:tc>
        <w:tc>
          <w:tcPr>
            <w:tcW w:w="891" w:type="pct"/>
            <w:noWrap w:val="0"/>
            <w:vAlign w:val="center"/>
          </w:tcPr>
          <w:p w14:paraId="63F98D89">
            <w:pPr>
              <w:jc w:val="center"/>
              <w:rPr>
                <w:rFonts w:hint="eastAsia" w:ascii="宋体" w:hAnsi="宋体" w:eastAsia="宋体" w:cs="宋体"/>
                <w:sz w:val="21"/>
                <w:szCs w:val="21"/>
                <w:vertAlign w:val="baseline"/>
              </w:rPr>
            </w:pPr>
          </w:p>
        </w:tc>
        <w:tc>
          <w:tcPr>
            <w:tcW w:w="701" w:type="pct"/>
            <w:noWrap w:val="0"/>
            <w:vAlign w:val="center"/>
          </w:tcPr>
          <w:p w14:paraId="28E2A19E">
            <w:pPr>
              <w:jc w:val="center"/>
              <w:rPr>
                <w:rFonts w:hint="eastAsia" w:ascii="宋体" w:hAnsi="宋体" w:eastAsia="宋体" w:cs="宋体"/>
                <w:sz w:val="21"/>
                <w:szCs w:val="21"/>
                <w:vertAlign w:val="baseline"/>
              </w:rPr>
            </w:pPr>
          </w:p>
        </w:tc>
      </w:tr>
      <w:tr w14:paraId="5021A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2000" w:type="dxa"/>
            <w:noWrap w:val="0"/>
            <w:vAlign w:val="center"/>
          </w:tcPr>
          <w:p w14:paraId="4770D5A3">
            <w:pPr>
              <w:keepNext w:val="0"/>
              <w:keepLines w:val="0"/>
              <w:widowControl/>
              <w:suppressLineNumbers w:val="0"/>
              <w:jc w:val="center"/>
              <w:textAlignment w:val="center"/>
              <w:rPr>
                <w:rFonts w:hint="eastAsia" w:ascii="宋体" w:hAnsi="宋体" w:eastAsia="宋体" w:cs="宋体"/>
                <w:sz w:val="21"/>
                <w:szCs w:val="21"/>
                <w:vertAlign w:val="baseline"/>
                <w:lang w:eastAsia="zh-CN"/>
              </w:rPr>
            </w:pPr>
            <w:r>
              <w:rPr>
                <w:rFonts w:hint="eastAsia" w:ascii="宋体" w:hAnsi="宋体" w:eastAsia="宋体" w:cs="宋体"/>
                <w:i w:val="0"/>
                <w:iCs w:val="0"/>
                <w:color w:val="000000"/>
                <w:kern w:val="0"/>
                <w:sz w:val="22"/>
                <w:szCs w:val="22"/>
                <w:u w:val="none"/>
                <w:lang w:val="en-US" w:eastAsia="zh-CN" w:bidi="ar"/>
              </w:rPr>
              <w:t>合计</w:t>
            </w:r>
          </w:p>
        </w:tc>
        <w:tc>
          <w:tcPr>
            <w:tcW w:w="1300" w:type="dxa"/>
            <w:noWrap w:val="0"/>
            <w:vAlign w:val="center"/>
          </w:tcPr>
          <w:p w14:paraId="59C48276">
            <w:pPr>
              <w:jc w:val="center"/>
              <w:rPr>
                <w:rFonts w:hint="eastAsia" w:ascii="宋体" w:hAnsi="宋体" w:eastAsia="宋体" w:cs="宋体"/>
                <w:sz w:val="21"/>
                <w:szCs w:val="21"/>
                <w:vertAlign w:val="baseline"/>
              </w:rPr>
            </w:pPr>
          </w:p>
        </w:tc>
        <w:tc>
          <w:tcPr>
            <w:tcW w:w="1380" w:type="dxa"/>
            <w:noWrap w:val="0"/>
            <w:vAlign w:val="center"/>
          </w:tcPr>
          <w:p w14:paraId="46D3AB06">
            <w:pPr>
              <w:jc w:val="center"/>
              <w:rPr>
                <w:rFonts w:hint="eastAsia" w:ascii="宋体" w:hAnsi="宋体" w:eastAsia="宋体" w:cs="宋体"/>
                <w:sz w:val="21"/>
                <w:szCs w:val="21"/>
                <w:vertAlign w:val="baseline"/>
              </w:rPr>
            </w:pPr>
          </w:p>
        </w:tc>
        <w:tc>
          <w:tcPr>
            <w:tcW w:w="1110" w:type="dxa"/>
            <w:noWrap w:val="0"/>
            <w:vAlign w:val="center"/>
          </w:tcPr>
          <w:p w14:paraId="4E50C053">
            <w:pPr>
              <w:jc w:val="center"/>
              <w:rPr>
                <w:rFonts w:hint="default" w:ascii="宋体" w:hAnsi="宋体" w:eastAsia="宋体" w:cs="宋体"/>
                <w:sz w:val="21"/>
                <w:szCs w:val="21"/>
                <w:vertAlign w:val="baseline"/>
                <w:lang w:val="en-US" w:eastAsia="zh-CN"/>
              </w:rPr>
            </w:pPr>
          </w:p>
        </w:tc>
        <w:tc>
          <w:tcPr>
            <w:tcW w:w="891" w:type="pct"/>
            <w:noWrap w:val="0"/>
            <w:vAlign w:val="center"/>
          </w:tcPr>
          <w:p w14:paraId="61BC5332">
            <w:pPr>
              <w:jc w:val="center"/>
              <w:rPr>
                <w:rFonts w:hint="eastAsia" w:ascii="宋体" w:hAnsi="宋体" w:eastAsia="宋体" w:cs="宋体"/>
                <w:sz w:val="21"/>
                <w:szCs w:val="21"/>
                <w:vertAlign w:val="baseline"/>
              </w:rPr>
            </w:pPr>
          </w:p>
        </w:tc>
        <w:tc>
          <w:tcPr>
            <w:tcW w:w="701" w:type="pct"/>
            <w:noWrap w:val="0"/>
            <w:vAlign w:val="center"/>
          </w:tcPr>
          <w:p w14:paraId="7189CE51">
            <w:pPr>
              <w:jc w:val="center"/>
              <w:rPr>
                <w:rFonts w:hint="eastAsia" w:ascii="宋体" w:hAnsi="宋体" w:eastAsia="宋体" w:cs="宋体"/>
                <w:sz w:val="21"/>
                <w:szCs w:val="21"/>
                <w:vertAlign w:val="baseline"/>
              </w:rPr>
            </w:pPr>
          </w:p>
        </w:tc>
      </w:tr>
      <w:tr w14:paraId="1D67A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2000" w:type="dxa"/>
            <w:noWrap w:val="0"/>
            <w:vAlign w:val="center"/>
          </w:tcPr>
          <w:p w14:paraId="455E9CE4">
            <w:pPr>
              <w:keepNext w:val="0"/>
              <w:keepLines w:val="0"/>
              <w:widowControl/>
              <w:suppressLineNumbers w:val="0"/>
              <w:jc w:val="center"/>
              <w:textAlignment w:val="center"/>
              <w:rPr>
                <w:rFonts w:hint="eastAsia" w:ascii="宋体" w:hAnsi="宋体" w:eastAsia="宋体" w:cs="宋体"/>
                <w:sz w:val="21"/>
                <w:szCs w:val="21"/>
                <w:vertAlign w:val="baseline"/>
              </w:rPr>
            </w:pPr>
            <w:r>
              <w:rPr>
                <w:rFonts w:hint="eastAsia" w:ascii="宋体" w:hAnsi="宋体" w:eastAsia="宋体" w:cs="宋体"/>
                <w:i w:val="0"/>
                <w:iCs w:val="0"/>
                <w:color w:val="000000"/>
                <w:kern w:val="0"/>
                <w:sz w:val="22"/>
                <w:szCs w:val="22"/>
                <w:u w:val="none"/>
                <w:lang w:val="en-US" w:eastAsia="zh-CN" w:bidi="ar"/>
              </w:rPr>
              <w:t>税金、管理费、企业利润</w:t>
            </w:r>
          </w:p>
        </w:tc>
        <w:tc>
          <w:tcPr>
            <w:tcW w:w="1300" w:type="dxa"/>
            <w:noWrap w:val="0"/>
            <w:vAlign w:val="center"/>
          </w:tcPr>
          <w:p w14:paraId="2496A2C7">
            <w:pPr>
              <w:jc w:val="center"/>
              <w:rPr>
                <w:rFonts w:hint="eastAsia" w:ascii="宋体" w:hAnsi="宋体" w:eastAsia="宋体" w:cs="宋体"/>
                <w:sz w:val="21"/>
                <w:szCs w:val="21"/>
                <w:vertAlign w:val="baseline"/>
              </w:rPr>
            </w:pPr>
          </w:p>
        </w:tc>
        <w:tc>
          <w:tcPr>
            <w:tcW w:w="1380" w:type="dxa"/>
            <w:noWrap w:val="0"/>
            <w:vAlign w:val="center"/>
          </w:tcPr>
          <w:p w14:paraId="716C325D">
            <w:pPr>
              <w:jc w:val="center"/>
              <w:rPr>
                <w:rFonts w:hint="eastAsia" w:ascii="宋体" w:hAnsi="宋体" w:eastAsia="宋体" w:cs="宋体"/>
                <w:sz w:val="21"/>
                <w:szCs w:val="21"/>
                <w:vertAlign w:val="baseline"/>
              </w:rPr>
            </w:pPr>
          </w:p>
        </w:tc>
        <w:tc>
          <w:tcPr>
            <w:tcW w:w="1110" w:type="dxa"/>
            <w:noWrap w:val="0"/>
            <w:vAlign w:val="center"/>
          </w:tcPr>
          <w:p w14:paraId="0CEDFDC0">
            <w:pPr>
              <w:jc w:val="center"/>
              <w:rPr>
                <w:rFonts w:hint="eastAsia" w:ascii="宋体" w:hAnsi="宋体" w:eastAsia="宋体" w:cs="宋体"/>
                <w:sz w:val="21"/>
                <w:szCs w:val="21"/>
                <w:vertAlign w:val="baseline"/>
              </w:rPr>
            </w:pPr>
          </w:p>
        </w:tc>
        <w:tc>
          <w:tcPr>
            <w:tcW w:w="891" w:type="pct"/>
            <w:noWrap w:val="0"/>
            <w:vAlign w:val="center"/>
          </w:tcPr>
          <w:p w14:paraId="50484D91">
            <w:pPr>
              <w:jc w:val="center"/>
              <w:rPr>
                <w:rFonts w:hint="eastAsia" w:ascii="宋体" w:hAnsi="宋体" w:eastAsia="宋体" w:cs="宋体"/>
                <w:sz w:val="21"/>
                <w:szCs w:val="21"/>
                <w:vertAlign w:val="baseline"/>
              </w:rPr>
            </w:pPr>
          </w:p>
        </w:tc>
        <w:tc>
          <w:tcPr>
            <w:tcW w:w="701" w:type="pct"/>
            <w:noWrap w:val="0"/>
            <w:vAlign w:val="center"/>
          </w:tcPr>
          <w:p w14:paraId="3C4C0948">
            <w:pPr>
              <w:bidi w:val="0"/>
              <w:rPr>
                <w:rFonts w:hint="eastAsia" w:ascii="宋体" w:hAnsi="宋体" w:eastAsia="宋体" w:cs="宋体"/>
                <w:szCs w:val="21"/>
                <w:vertAlign w:val="baseline"/>
              </w:rPr>
            </w:pPr>
            <w:r>
              <w:rPr>
                <w:rFonts w:hint="eastAsia"/>
                <w:sz w:val="20"/>
                <w:szCs w:val="22"/>
                <w:lang w:val="en-US" w:eastAsia="zh-CN"/>
              </w:rPr>
              <w:t>税金费率统一按</w:t>
            </w:r>
            <w:r>
              <w:rPr>
                <w:rFonts w:hint="default"/>
                <w:sz w:val="20"/>
                <w:szCs w:val="22"/>
                <w:lang w:val="en-US" w:eastAsia="zh-CN"/>
              </w:rPr>
              <w:t>6.72%</w:t>
            </w:r>
          </w:p>
        </w:tc>
      </w:tr>
      <w:tr w14:paraId="4E15E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942" w:type="pct"/>
            <w:gridSpan w:val="2"/>
            <w:noWrap w:val="0"/>
            <w:vAlign w:val="center"/>
          </w:tcPr>
          <w:p w14:paraId="4CE37A9E">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t>总计(元)</w:t>
            </w:r>
          </w:p>
        </w:tc>
        <w:tc>
          <w:tcPr>
            <w:tcW w:w="3057" w:type="pct"/>
            <w:gridSpan w:val="4"/>
            <w:noWrap w:val="0"/>
            <w:vAlign w:val="center"/>
          </w:tcPr>
          <w:p w14:paraId="1137A3BC">
            <w:pPr>
              <w:jc w:val="center"/>
              <w:rPr>
                <w:rFonts w:hint="eastAsia" w:ascii="宋体" w:hAnsi="宋体" w:eastAsia="宋体" w:cs="宋体"/>
                <w:sz w:val="21"/>
                <w:szCs w:val="21"/>
                <w:vertAlign w:val="baseline"/>
              </w:rPr>
            </w:pPr>
          </w:p>
        </w:tc>
      </w:tr>
    </w:tbl>
    <w:p w14:paraId="1741B065">
      <w:pPr>
        <w:pStyle w:val="29"/>
        <w:bidi w:val="0"/>
        <w:spacing w:line="240" w:lineRule="auto"/>
        <w:ind w:left="0" w:leftChars="0"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sz w:val="24"/>
          <w:szCs w:val="24"/>
        </w:rPr>
        <w:t>备注：1.投标报价采用总承包方式，“投标总报价”应包括采购人需求的服务</w:t>
      </w:r>
      <w:r>
        <w:rPr>
          <w:rFonts w:hint="eastAsia" w:ascii="宋体" w:hAnsi="宋体" w:eastAsia="宋体" w:cs="宋体"/>
          <w:color w:val="auto"/>
          <w:sz w:val="24"/>
          <w:highlight w:val="none"/>
          <w:lang w:val="en-US" w:eastAsia="zh-CN"/>
        </w:rPr>
        <w:t>、所有人员的工资、法定节假日加班费、休息日加班费、社保、公积金、福利费</w:t>
      </w:r>
      <w:r>
        <w:rPr>
          <w:rFonts w:hint="eastAsia" w:ascii="宋体" w:hAnsi="宋体" w:eastAsia="宋体" w:cs="宋体"/>
          <w:color w:val="auto"/>
          <w:sz w:val="24"/>
          <w:highlight w:val="none"/>
          <w:lang w:eastAsia="zh-CN"/>
        </w:rPr>
        <w:t>材料损耗费、劳务费、保险费、管理费、配合费、培训、税金、利润、风险费、不可预见费及其他一切相关费用等所需的全部费用的价格体现，凡漏项或少计均视为优惠，甲方不另行增加费用。各类风险和政策性调整等风险已包括在投标报价中，最终结算时除合同约定调整外一律不予调整。</w:t>
      </w:r>
      <w:r>
        <w:rPr>
          <w:rFonts w:hint="eastAsia" w:ascii="宋体" w:hAnsi="宋体" w:eastAsia="宋体" w:cs="宋体"/>
          <w:sz w:val="24"/>
          <w:szCs w:val="24"/>
          <w:highlight w:val="none"/>
          <w:lang w:val="en-US" w:eastAsia="zh-CN"/>
        </w:rPr>
        <w:t>2. “投标分项报价表”中“投标总报价”数额应当与“开标一览表”中“投标总</w:t>
      </w:r>
      <w:r>
        <w:rPr>
          <w:rFonts w:hint="eastAsia" w:ascii="宋体" w:hAnsi="宋体" w:eastAsia="宋体" w:cs="宋体"/>
          <w:sz w:val="24"/>
          <w:szCs w:val="24"/>
          <w:lang w:val="en-US" w:eastAsia="zh-CN"/>
        </w:rPr>
        <w:t>报价”数额一致。</w:t>
      </w:r>
      <w:r>
        <w:rPr>
          <w:rFonts w:hint="eastAsia" w:ascii="宋体" w:hAnsi="宋体" w:eastAsia="宋体" w:cs="宋体"/>
          <w:color w:val="auto"/>
          <w:kern w:val="2"/>
          <w:sz w:val="24"/>
          <w:szCs w:val="24"/>
          <w:highlight w:val="none"/>
          <w:lang w:val="en-US" w:eastAsia="zh-CN" w:bidi="ar-SA"/>
        </w:rPr>
        <w:t>3.招标文件附件中招标清单需同时填写并上传。</w:t>
      </w:r>
    </w:p>
    <w:p w14:paraId="511BE8A4">
      <w:pPr>
        <w:pStyle w:val="32"/>
        <w:tabs>
          <w:tab w:val="left" w:pos="4864"/>
        </w:tabs>
        <w:spacing w:beforeAutospacing="0" w:afterAutospacing="0" w:line="0" w:lineRule="atLeast"/>
        <w:ind w:right="1560" w:firstLine="624"/>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w:t>
      </w:r>
    </w:p>
    <w:p w14:paraId="1CD09768">
      <w:pPr>
        <w:pStyle w:val="32"/>
        <w:tabs>
          <w:tab w:val="left" w:pos="4864"/>
        </w:tabs>
        <w:spacing w:beforeAutospacing="0" w:afterAutospacing="0" w:line="0" w:lineRule="atLeast"/>
        <w:ind w:right="1560" w:firstLine="624"/>
        <w:jc w:val="center"/>
        <w:rPr>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供应商全称（加盖CA电子公章）：</w:t>
      </w:r>
    </w:p>
    <w:p w14:paraId="11F28726">
      <w:pPr>
        <w:pStyle w:val="32"/>
        <w:tabs>
          <w:tab w:val="left" w:pos="4864"/>
        </w:tabs>
        <w:spacing w:beforeAutospacing="0" w:afterAutospacing="0" w:line="0" w:lineRule="atLeast"/>
        <w:ind w:right="1560"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4A94BB85">
      <w:pPr>
        <w:pStyle w:val="29"/>
        <w:bidi w:val="0"/>
        <w:spacing w:line="240" w:lineRule="auto"/>
        <w:ind w:firstLine="3422" w:firstLineChars="1426"/>
        <w:rPr>
          <w:highlight w:val="none"/>
        </w:rPr>
      </w:pPr>
      <w:r>
        <w:rPr>
          <w:rFonts w:hint="eastAsia" w:ascii="宋体" w:hAnsi="宋体" w:eastAsia="宋体" w:cs="宋体"/>
          <w:color w:val="auto"/>
          <w:highlight w:val="none"/>
        </w:rPr>
        <w:t>日  期：</w:t>
      </w:r>
      <w:r>
        <w:rPr>
          <w:rFonts w:hint="eastAsia"/>
          <w:lang w:val="en-US" w:eastAsia="zh-CN"/>
        </w:rPr>
        <w:t xml:space="preserve"> </w:t>
      </w:r>
    </w:p>
    <w:p w14:paraId="4C665761">
      <w:pPr>
        <w:pStyle w:val="14"/>
        <w:spacing w:beforeAutospacing="0" w:afterAutospacing="0"/>
        <w:jc w:val="center"/>
        <w:rPr>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eastAsia="zh-CN"/>
        </w:rPr>
        <w:t>四</w:t>
      </w:r>
      <w:r>
        <w:rPr>
          <w:rFonts w:hint="eastAsia" w:ascii="黑体" w:hAnsi="宋体" w:eastAsia="黑体" w:cs="黑体"/>
          <w:b/>
          <w:color w:val="000000"/>
          <w:sz w:val="32"/>
          <w:szCs w:val="32"/>
          <w:highlight w:val="none"/>
        </w:rPr>
        <w:t>、技术要求响应及偏离表</w:t>
      </w:r>
    </w:p>
    <w:tbl>
      <w:tblPr>
        <w:tblStyle w:val="16"/>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8C67D6B">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DE08D">
            <w:pPr>
              <w:pStyle w:val="14"/>
              <w:spacing w:beforeAutospacing="0" w:afterAutospacing="0"/>
              <w:jc w:val="center"/>
              <w:rPr>
                <w:highlight w:val="none"/>
              </w:rPr>
            </w:pPr>
            <w:r>
              <w:rPr>
                <w:rFonts w:hint="eastAsia" w:ascii="宋体" w:hAnsi="宋体" w:eastAsia="宋体" w:cs="宋体"/>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1E111">
            <w:pPr>
              <w:pStyle w:val="14"/>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6C2EF">
            <w:pPr>
              <w:pStyle w:val="14"/>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F4F6C">
            <w:pPr>
              <w:pStyle w:val="14"/>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50C9B">
            <w:pPr>
              <w:pStyle w:val="14"/>
              <w:spacing w:beforeAutospacing="0" w:afterAutospacing="0"/>
              <w:jc w:val="center"/>
              <w:rPr>
                <w:highlight w:val="none"/>
              </w:rPr>
            </w:pPr>
            <w:r>
              <w:rPr>
                <w:rFonts w:hint="eastAsia" w:ascii="宋体" w:hAnsi="宋体" w:eastAsia="宋体" w:cs="宋体"/>
                <w:color w:val="000000"/>
                <w:highlight w:val="none"/>
              </w:rPr>
              <w:t>证明</w:t>
            </w:r>
          </w:p>
          <w:p w14:paraId="0AA567DE">
            <w:pPr>
              <w:pStyle w:val="14"/>
              <w:spacing w:beforeAutospacing="0" w:afterAutospacing="0"/>
              <w:jc w:val="center"/>
              <w:rPr>
                <w:highlight w:val="none"/>
              </w:rPr>
            </w:pPr>
            <w:r>
              <w:rPr>
                <w:rFonts w:hint="eastAsia" w:ascii="宋体" w:hAnsi="宋体" w:eastAsia="宋体" w:cs="宋体"/>
                <w:color w:val="000000"/>
                <w:highlight w:val="none"/>
              </w:rPr>
              <w:t>材料</w:t>
            </w:r>
          </w:p>
        </w:tc>
      </w:tr>
      <w:tr w14:paraId="2D55E8D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13A6D">
            <w:pPr>
              <w:pStyle w:val="1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93F98">
            <w:pPr>
              <w:pStyle w:val="1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E1D89">
            <w:pPr>
              <w:pStyle w:val="1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87EF9">
            <w:pPr>
              <w:pStyle w:val="1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5079C">
            <w:pPr>
              <w:pStyle w:val="14"/>
              <w:spacing w:beforeAutospacing="0" w:afterAutospacing="0"/>
              <w:jc w:val="center"/>
              <w:rPr>
                <w:highlight w:val="none"/>
              </w:rPr>
            </w:pPr>
            <w:r>
              <w:rPr>
                <w:highlight w:val="none"/>
              </w:rPr>
              <w:t> </w:t>
            </w:r>
          </w:p>
        </w:tc>
      </w:tr>
      <w:tr w14:paraId="6A22AAF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9958B">
            <w:pPr>
              <w:pStyle w:val="1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E19D3">
            <w:pPr>
              <w:pStyle w:val="1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B75A1">
            <w:pPr>
              <w:pStyle w:val="1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FC8BB">
            <w:pPr>
              <w:pStyle w:val="1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BFCA8">
            <w:pPr>
              <w:pStyle w:val="14"/>
              <w:spacing w:beforeAutospacing="0" w:afterAutospacing="0"/>
              <w:jc w:val="center"/>
              <w:rPr>
                <w:highlight w:val="none"/>
              </w:rPr>
            </w:pPr>
            <w:r>
              <w:rPr>
                <w:highlight w:val="none"/>
              </w:rPr>
              <w:t> </w:t>
            </w:r>
          </w:p>
        </w:tc>
      </w:tr>
      <w:tr w14:paraId="0A96D92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845D8">
            <w:pPr>
              <w:pStyle w:val="1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F83CE">
            <w:pPr>
              <w:pStyle w:val="1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5206A">
            <w:pPr>
              <w:pStyle w:val="1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64FE1">
            <w:pPr>
              <w:pStyle w:val="1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581DA">
            <w:pPr>
              <w:pStyle w:val="14"/>
              <w:spacing w:beforeAutospacing="0" w:afterAutospacing="0"/>
              <w:jc w:val="center"/>
              <w:rPr>
                <w:highlight w:val="none"/>
              </w:rPr>
            </w:pPr>
            <w:r>
              <w:rPr>
                <w:highlight w:val="none"/>
              </w:rPr>
              <w:t> </w:t>
            </w:r>
          </w:p>
        </w:tc>
      </w:tr>
      <w:tr w14:paraId="6A3D630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F5B2F">
            <w:pPr>
              <w:pStyle w:val="1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DB8D7">
            <w:pPr>
              <w:pStyle w:val="1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EDA57">
            <w:pPr>
              <w:pStyle w:val="1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CB6AD">
            <w:pPr>
              <w:pStyle w:val="1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1883">
            <w:pPr>
              <w:pStyle w:val="14"/>
              <w:spacing w:beforeAutospacing="0" w:afterAutospacing="0"/>
              <w:jc w:val="center"/>
              <w:rPr>
                <w:highlight w:val="none"/>
              </w:rPr>
            </w:pPr>
            <w:r>
              <w:rPr>
                <w:highlight w:val="none"/>
              </w:rPr>
              <w:t> </w:t>
            </w:r>
          </w:p>
        </w:tc>
      </w:tr>
      <w:tr w14:paraId="1FD1030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8B157">
            <w:pPr>
              <w:pStyle w:val="1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7CAED">
            <w:pPr>
              <w:pStyle w:val="1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8D6B9">
            <w:pPr>
              <w:pStyle w:val="1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BF19F">
            <w:pPr>
              <w:pStyle w:val="1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55CDD">
            <w:pPr>
              <w:pStyle w:val="14"/>
              <w:spacing w:beforeAutospacing="0" w:afterAutospacing="0"/>
              <w:jc w:val="center"/>
              <w:rPr>
                <w:highlight w:val="none"/>
              </w:rPr>
            </w:pPr>
            <w:r>
              <w:rPr>
                <w:highlight w:val="none"/>
              </w:rPr>
              <w:t> </w:t>
            </w:r>
          </w:p>
        </w:tc>
      </w:tr>
      <w:tr w14:paraId="7E7BEB0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AE6E8">
            <w:pPr>
              <w:pStyle w:val="1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22274">
            <w:pPr>
              <w:pStyle w:val="1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9B729">
            <w:pPr>
              <w:pStyle w:val="1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035ED">
            <w:pPr>
              <w:pStyle w:val="1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023FA">
            <w:pPr>
              <w:pStyle w:val="14"/>
              <w:spacing w:beforeAutospacing="0" w:afterAutospacing="0"/>
              <w:jc w:val="center"/>
              <w:rPr>
                <w:highlight w:val="none"/>
              </w:rPr>
            </w:pPr>
            <w:r>
              <w:rPr>
                <w:highlight w:val="none"/>
              </w:rPr>
              <w:t> </w:t>
            </w:r>
          </w:p>
        </w:tc>
      </w:tr>
      <w:tr w14:paraId="04CD8F2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2F401">
            <w:pPr>
              <w:pStyle w:val="1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4C446">
            <w:pPr>
              <w:pStyle w:val="1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32FF0">
            <w:pPr>
              <w:pStyle w:val="1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46148">
            <w:pPr>
              <w:pStyle w:val="1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4035">
            <w:pPr>
              <w:pStyle w:val="14"/>
              <w:spacing w:beforeAutospacing="0" w:afterAutospacing="0"/>
              <w:jc w:val="center"/>
              <w:rPr>
                <w:highlight w:val="none"/>
              </w:rPr>
            </w:pPr>
            <w:r>
              <w:rPr>
                <w:highlight w:val="none"/>
              </w:rPr>
              <w:t> </w:t>
            </w:r>
          </w:p>
        </w:tc>
      </w:tr>
      <w:tr w14:paraId="42CC7CC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8F694">
            <w:pPr>
              <w:pStyle w:val="1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9BBC6">
            <w:pPr>
              <w:pStyle w:val="14"/>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054F4">
            <w:pPr>
              <w:pStyle w:val="1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B8EFF">
            <w:pPr>
              <w:pStyle w:val="1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890D4">
            <w:pPr>
              <w:pStyle w:val="14"/>
              <w:spacing w:beforeAutospacing="0" w:afterAutospacing="0"/>
              <w:jc w:val="center"/>
              <w:rPr>
                <w:highlight w:val="none"/>
              </w:rPr>
            </w:pPr>
            <w:r>
              <w:rPr>
                <w:highlight w:val="none"/>
              </w:rPr>
              <w:t> </w:t>
            </w:r>
          </w:p>
        </w:tc>
      </w:tr>
    </w:tbl>
    <w:p w14:paraId="039DC209">
      <w:pPr>
        <w:pStyle w:val="14"/>
        <w:spacing w:beforeAutospacing="0" w:afterAutospacing="0"/>
        <w:jc w:val="both"/>
        <w:rPr>
          <w:highlight w:val="none"/>
        </w:rPr>
      </w:pPr>
      <w:r>
        <w:rPr>
          <w:rFonts w:hint="eastAsia" w:ascii="宋体" w:hAnsi="宋体" w:eastAsia="宋体" w:cs="宋体"/>
          <w:color w:val="000000"/>
          <w:highlight w:val="none"/>
        </w:rPr>
        <w:t>注： 行数不够，可自行添加。</w:t>
      </w:r>
    </w:p>
    <w:p w14:paraId="15AA5ABF">
      <w:pPr>
        <w:pStyle w:val="14"/>
        <w:spacing w:beforeAutospacing="0" w:afterAutospacing="0"/>
        <w:jc w:val="center"/>
        <w:rPr>
          <w:highlight w:val="none"/>
        </w:rPr>
      </w:pPr>
      <w:r>
        <w:rPr>
          <w:highlight w:val="none"/>
        </w:rPr>
        <w:t> </w:t>
      </w:r>
    </w:p>
    <w:p w14:paraId="3DE57A72">
      <w:pPr>
        <w:pStyle w:val="14"/>
        <w:spacing w:beforeAutospacing="0" w:afterAutospacing="0"/>
        <w:jc w:val="center"/>
        <w:rPr>
          <w:highlight w:val="none"/>
        </w:rPr>
      </w:pPr>
      <w:r>
        <w:rPr>
          <w:highlight w:val="none"/>
        </w:rPr>
        <w:t> </w:t>
      </w:r>
    </w:p>
    <w:p w14:paraId="5D8A6DEA">
      <w:pPr>
        <w:pStyle w:val="14"/>
        <w:spacing w:beforeAutospacing="0" w:afterAutospacing="0"/>
        <w:jc w:val="center"/>
        <w:rPr>
          <w:highlight w:val="none"/>
        </w:rPr>
      </w:pPr>
      <w:r>
        <w:rPr>
          <w:highlight w:val="none"/>
        </w:rPr>
        <w:t> </w:t>
      </w:r>
    </w:p>
    <w:p w14:paraId="4F7E03C8">
      <w:pPr>
        <w:pStyle w:val="14"/>
        <w:spacing w:beforeAutospacing="0" w:afterAutospacing="0"/>
        <w:jc w:val="center"/>
        <w:rPr>
          <w:highlight w:val="none"/>
        </w:rPr>
      </w:pPr>
      <w:r>
        <w:rPr>
          <w:highlight w:val="none"/>
        </w:rPr>
        <w:t> </w:t>
      </w:r>
    </w:p>
    <w:p w14:paraId="068A4565">
      <w:pPr>
        <w:pStyle w:val="14"/>
        <w:spacing w:beforeAutospacing="0" w:afterAutospacing="0"/>
        <w:jc w:val="both"/>
        <w:rPr>
          <w:highlight w:val="none"/>
        </w:rPr>
      </w:pPr>
      <w:r>
        <w:rPr>
          <w:highlight w:val="none"/>
        </w:rPr>
        <w:t> </w:t>
      </w:r>
    </w:p>
    <w:p w14:paraId="6EC5A847">
      <w:pPr>
        <w:pStyle w:val="14"/>
        <w:spacing w:beforeAutospacing="0" w:afterAutospacing="0"/>
        <w:jc w:val="both"/>
        <w:rPr>
          <w:highlight w:val="none"/>
        </w:rPr>
      </w:pPr>
      <w:r>
        <w:rPr>
          <w:highlight w:val="none"/>
        </w:rPr>
        <w:t> </w:t>
      </w:r>
    </w:p>
    <w:p w14:paraId="78FCBE0B">
      <w:pPr>
        <w:pStyle w:val="14"/>
        <w:spacing w:beforeAutospacing="0" w:afterAutospacing="0"/>
        <w:jc w:val="both"/>
        <w:rPr>
          <w:highlight w:val="none"/>
        </w:rPr>
      </w:pPr>
      <w:r>
        <w:rPr>
          <w:highlight w:val="none"/>
        </w:rPr>
        <w:t> </w:t>
      </w:r>
    </w:p>
    <w:p w14:paraId="174ABED4">
      <w:pPr>
        <w:pStyle w:val="14"/>
        <w:spacing w:beforeAutospacing="0" w:afterAutospacing="0"/>
        <w:jc w:val="both"/>
        <w:rPr>
          <w:highlight w:val="none"/>
        </w:rPr>
      </w:pPr>
      <w:r>
        <w:rPr>
          <w:highlight w:val="none"/>
        </w:rPr>
        <w:t> </w:t>
      </w:r>
    </w:p>
    <w:p w14:paraId="79285A37">
      <w:pPr>
        <w:pStyle w:val="14"/>
        <w:spacing w:beforeAutospacing="0" w:afterAutospacing="0"/>
        <w:jc w:val="both"/>
        <w:rPr>
          <w:highlight w:val="none"/>
        </w:rPr>
      </w:pPr>
    </w:p>
    <w:p w14:paraId="1F8896A9">
      <w:pPr>
        <w:pStyle w:val="14"/>
        <w:spacing w:beforeAutospacing="0" w:afterAutospacing="0"/>
        <w:jc w:val="both"/>
        <w:rPr>
          <w:highlight w:val="none"/>
        </w:rPr>
      </w:pPr>
    </w:p>
    <w:p w14:paraId="33FE263D">
      <w:pPr>
        <w:pStyle w:val="14"/>
        <w:spacing w:beforeAutospacing="0" w:afterAutospacing="0"/>
        <w:jc w:val="both"/>
        <w:rPr>
          <w:highlight w:val="none"/>
        </w:rPr>
      </w:pPr>
    </w:p>
    <w:p w14:paraId="6377BA79">
      <w:pPr>
        <w:pStyle w:val="14"/>
        <w:spacing w:beforeAutospacing="0" w:afterAutospacing="0"/>
        <w:jc w:val="both"/>
        <w:rPr>
          <w:highlight w:val="none"/>
        </w:rPr>
      </w:pPr>
    </w:p>
    <w:p w14:paraId="7251072B">
      <w:pPr>
        <w:pStyle w:val="14"/>
        <w:spacing w:beforeAutospacing="0" w:afterAutospacing="0"/>
        <w:jc w:val="both"/>
        <w:rPr>
          <w:highlight w:val="none"/>
        </w:rPr>
      </w:pPr>
    </w:p>
    <w:p w14:paraId="1B25334D">
      <w:pPr>
        <w:pStyle w:val="14"/>
        <w:spacing w:beforeAutospacing="0" w:afterAutospacing="0"/>
        <w:jc w:val="both"/>
        <w:rPr>
          <w:highlight w:val="none"/>
        </w:rPr>
      </w:pPr>
    </w:p>
    <w:p w14:paraId="5D154BA8">
      <w:pPr>
        <w:pStyle w:val="14"/>
        <w:spacing w:beforeAutospacing="0" w:afterAutospacing="0"/>
        <w:jc w:val="both"/>
        <w:rPr>
          <w:highlight w:val="none"/>
        </w:rPr>
      </w:pPr>
    </w:p>
    <w:p w14:paraId="50B76237">
      <w:pPr>
        <w:pStyle w:val="14"/>
        <w:spacing w:beforeAutospacing="0" w:afterAutospacing="0"/>
        <w:jc w:val="both"/>
        <w:rPr>
          <w:highlight w:val="none"/>
        </w:rPr>
      </w:pPr>
    </w:p>
    <w:p w14:paraId="3C29FEC0">
      <w:pPr>
        <w:pStyle w:val="14"/>
        <w:spacing w:beforeAutospacing="0" w:afterAutospacing="0"/>
        <w:jc w:val="both"/>
        <w:rPr>
          <w:highlight w:val="none"/>
        </w:rPr>
      </w:pPr>
    </w:p>
    <w:p w14:paraId="341FB04E">
      <w:pPr>
        <w:pStyle w:val="14"/>
        <w:spacing w:beforeAutospacing="0" w:afterAutospacing="0"/>
        <w:jc w:val="both"/>
        <w:rPr>
          <w:highlight w:val="none"/>
        </w:rPr>
      </w:pPr>
    </w:p>
    <w:p w14:paraId="388B35FD">
      <w:pPr>
        <w:pStyle w:val="14"/>
        <w:spacing w:beforeAutospacing="0" w:afterAutospacing="0"/>
        <w:jc w:val="both"/>
        <w:rPr>
          <w:highlight w:val="none"/>
        </w:rPr>
      </w:pPr>
    </w:p>
    <w:p w14:paraId="07E2D191">
      <w:pPr>
        <w:pStyle w:val="14"/>
        <w:spacing w:beforeAutospacing="0" w:afterAutospacing="0"/>
        <w:jc w:val="both"/>
        <w:rPr>
          <w:highlight w:val="none"/>
        </w:rPr>
      </w:pPr>
    </w:p>
    <w:p w14:paraId="4714A711">
      <w:pPr>
        <w:pStyle w:val="14"/>
        <w:spacing w:beforeAutospacing="0" w:afterAutospacing="0"/>
        <w:jc w:val="center"/>
        <w:rPr>
          <w:rFonts w:hint="eastAsia" w:ascii="黑体" w:hAnsi="宋体" w:eastAsia="黑体" w:cs="黑体"/>
          <w:b/>
          <w:color w:val="000000"/>
          <w:sz w:val="32"/>
          <w:szCs w:val="32"/>
          <w:highlight w:val="none"/>
        </w:rPr>
      </w:pPr>
      <w:bookmarkStart w:id="193" w:name="_Hlt26955054"/>
    </w:p>
    <w:p w14:paraId="2937E1C6">
      <w:pPr>
        <w:pStyle w:val="14"/>
        <w:spacing w:beforeAutospacing="0" w:afterAutospacing="0"/>
        <w:jc w:val="center"/>
        <w:rPr>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eastAsia="zh-CN"/>
        </w:rPr>
        <w:t>五</w:t>
      </w:r>
      <w:r>
        <w:rPr>
          <w:rFonts w:hint="eastAsia" w:ascii="黑体" w:hAnsi="宋体" w:eastAsia="黑体" w:cs="黑体"/>
          <w:b/>
          <w:color w:val="000000"/>
          <w:sz w:val="32"/>
          <w:szCs w:val="32"/>
          <w:highlight w:val="none"/>
        </w:rPr>
        <w:t>、商务要求响应及偏离表</w:t>
      </w:r>
    </w:p>
    <w:tbl>
      <w:tblPr>
        <w:tblStyle w:val="16"/>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41983AF4">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69174">
            <w:pPr>
              <w:pStyle w:val="14"/>
              <w:spacing w:beforeAutospacing="0" w:afterAutospacing="0"/>
              <w:jc w:val="center"/>
              <w:rPr>
                <w:highlight w:val="none"/>
              </w:rPr>
            </w:pPr>
            <w:bookmarkStart w:id="194" w:name="_Hlt26955056"/>
            <w:bookmarkStart w:id="195" w:name="_Hlt26782999"/>
            <w:bookmarkStart w:id="196" w:name="_Hlt26671343"/>
            <w:bookmarkStart w:id="197" w:name="_Hlt26955064"/>
            <w:bookmarkStart w:id="198" w:name="_Hlt26580838"/>
            <w:bookmarkStart w:id="199" w:name="_Hlt26609391"/>
            <w:bookmarkStart w:id="200" w:name="_Hlt26671372"/>
            <w:bookmarkStart w:id="201" w:name="_Hlt24879081"/>
            <w:r>
              <w:rPr>
                <w:rFonts w:hint="eastAsia" w:ascii="宋体" w:hAnsi="宋体" w:eastAsia="宋体" w:cs="宋体"/>
                <w:color w:val="000000"/>
                <w:highlight w:val="none"/>
              </w:rPr>
              <w:t>序号</w:t>
            </w:r>
          </w:p>
          <w:bookmarkEnd w:id="194"/>
          <w:bookmarkEnd w:id="195"/>
          <w:bookmarkEnd w:id="196"/>
          <w:bookmarkEnd w:id="197"/>
          <w:bookmarkEnd w:id="198"/>
          <w:bookmarkEnd w:id="199"/>
          <w:bookmarkEnd w:id="200"/>
          <w:bookmarkEnd w:id="201"/>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66234">
            <w:pPr>
              <w:pStyle w:val="14"/>
              <w:spacing w:beforeAutospacing="0" w:afterAutospacing="0"/>
              <w:jc w:val="center"/>
              <w:rPr>
                <w:highlight w:val="none"/>
              </w:rPr>
            </w:pPr>
            <w:r>
              <w:rPr>
                <w:rFonts w:hint="eastAsia" w:ascii="宋体" w:hAnsi="宋体" w:eastAsia="宋体" w:cs="宋体"/>
                <w:color w:val="000000"/>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DE2C3">
            <w:pPr>
              <w:pStyle w:val="14"/>
              <w:spacing w:beforeAutospacing="0" w:afterAutospacing="0"/>
              <w:jc w:val="center"/>
              <w:rPr>
                <w:highlight w:val="none"/>
              </w:rPr>
            </w:pPr>
            <w:r>
              <w:rPr>
                <w:rFonts w:hint="eastAsia" w:ascii="宋体" w:hAnsi="宋体" w:eastAsia="宋体" w:cs="宋体"/>
                <w:color w:val="000000"/>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3B165">
            <w:pPr>
              <w:pStyle w:val="14"/>
              <w:spacing w:beforeAutospacing="0" w:afterAutospacing="0"/>
              <w:jc w:val="center"/>
              <w:rPr>
                <w:highlight w:val="none"/>
              </w:rPr>
            </w:pPr>
            <w:r>
              <w:rPr>
                <w:rFonts w:hint="eastAsia" w:ascii="宋体" w:hAnsi="宋体" w:eastAsia="宋体" w:cs="宋体"/>
                <w:color w:val="000000"/>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5564C">
            <w:pPr>
              <w:pStyle w:val="14"/>
              <w:spacing w:beforeAutospacing="0" w:afterAutospacing="0"/>
              <w:jc w:val="center"/>
              <w:rPr>
                <w:highlight w:val="none"/>
              </w:rPr>
            </w:pPr>
            <w:r>
              <w:rPr>
                <w:rFonts w:hint="eastAsia" w:ascii="宋体" w:hAnsi="宋体" w:eastAsia="宋体" w:cs="宋体"/>
                <w:color w:val="000000"/>
                <w:highlight w:val="none"/>
              </w:rPr>
              <w:t>证明</w:t>
            </w:r>
          </w:p>
          <w:p w14:paraId="07127613">
            <w:pPr>
              <w:pStyle w:val="14"/>
              <w:spacing w:beforeAutospacing="0" w:afterAutospacing="0"/>
              <w:jc w:val="center"/>
              <w:rPr>
                <w:highlight w:val="none"/>
              </w:rPr>
            </w:pPr>
            <w:r>
              <w:rPr>
                <w:rFonts w:hint="eastAsia" w:ascii="宋体" w:hAnsi="宋体" w:eastAsia="宋体" w:cs="宋体"/>
                <w:color w:val="000000"/>
                <w:highlight w:val="none"/>
              </w:rPr>
              <w:t>材料</w:t>
            </w:r>
          </w:p>
        </w:tc>
      </w:tr>
      <w:tr w14:paraId="62547FD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B7343">
            <w:pPr>
              <w:pStyle w:val="14"/>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00662">
            <w:pPr>
              <w:pStyle w:val="14"/>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BBD93">
            <w:pPr>
              <w:pStyle w:val="14"/>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EE4BC">
            <w:pPr>
              <w:pStyle w:val="14"/>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40B98">
            <w:pPr>
              <w:pStyle w:val="14"/>
              <w:spacing w:beforeAutospacing="0" w:afterAutospacing="0"/>
              <w:jc w:val="center"/>
              <w:rPr>
                <w:highlight w:val="none"/>
              </w:rPr>
            </w:pPr>
            <w:r>
              <w:rPr>
                <w:highlight w:val="none"/>
              </w:rPr>
              <w:t> </w:t>
            </w:r>
          </w:p>
        </w:tc>
      </w:tr>
      <w:tr w14:paraId="71131C2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D40B7">
            <w:pPr>
              <w:pStyle w:val="14"/>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E3336">
            <w:pPr>
              <w:pStyle w:val="14"/>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6CF03">
            <w:pPr>
              <w:pStyle w:val="14"/>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7E368">
            <w:pPr>
              <w:pStyle w:val="14"/>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97859">
            <w:pPr>
              <w:pStyle w:val="14"/>
              <w:spacing w:beforeAutospacing="0" w:afterAutospacing="0"/>
              <w:jc w:val="center"/>
              <w:rPr>
                <w:highlight w:val="none"/>
              </w:rPr>
            </w:pPr>
            <w:r>
              <w:rPr>
                <w:highlight w:val="none"/>
              </w:rPr>
              <w:t> </w:t>
            </w:r>
          </w:p>
        </w:tc>
      </w:tr>
      <w:tr w14:paraId="3820784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A9B7D">
            <w:pPr>
              <w:pStyle w:val="14"/>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D99A5">
            <w:pPr>
              <w:pStyle w:val="14"/>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4C122">
            <w:pPr>
              <w:pStyle w:val="14"/>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89354">
            <w:pPr>
              <w:pStyle w:val="14"/>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3AF76">
            <w:pPr>
              <w:pStyle w:val="14"/>
              <w:spacing w:beforeAutospacing="0" w:afterAutospacing="0"/>
              <w:jc w:val="center"/>
              <w:rPr>
                <w:highlight w:val="none"/>
              </w:rPr>
            </w:pPr>
            <w:r>
              <w:rPr>
                <w:highlight w:val="none"/>
              </w:rPr>
              <w:t> </w:t>
            </w:r>
          </w:p>
        </w:tc>
      </w:tr>
      <w:tr w14:paraId="37E06C0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07472">
            <w:pPr>
              <w:pStyle w:val="14"/>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C8784">
            <w:pPr>
              <w:pStyle w:val="14"/>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62DCF">
            <w:pPr>
              <w:pStyle w:val="14"/>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74011">
            <w:pPr>
              <w:pStyle w:val="14"/>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91310">
            <w:pPr>
              <w:pStyle w:val="14"/>
              <w:spacing w:beforeAutospacing="0" w:afterAutospacing="0"/>
              <w:jc w:val="center"/>
              <w:rPr>
                <w:highlight w:val="none"/>
              </w:rPr>
            </w:pPr>
            <w:r>
              <w:rPr>
                <w:highlight w:val="none"/>
              </w:rPr>
              <w:t> </w:t>
            </w:r>
          </w:p>
        </w:tc>
      </w:tr>
      <w:tr w14:paraId="1649B01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12B5E">
            <w:pPr>
              <w:pStyle w:val="14"/>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F250D">
            <w:pPr>
              <w:pStyle w:val="14"/>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60118">
            <w:pPr>
              <w:pStyle w:val="14"/>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10CD6">
            <w:pPr>
              <w:pStyle w:val="14"/>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7CDC2">
            <w:pPr>
              <w:pStyle w:val="14"/>
              <w:spacing w:beforeAutospacing="0" w:afterAutospacing="0"/>
              <w:jc w:val="center"/>
              <w:rPr>
                <w:highlight w:val="none"/>
              </w:rPr>
            </w:pPr>
            <w:r>
              <w:rPr>
                <w:highlight w:val="none"/>
              </w:rPr>
              <w:t> </w:t>
            </w:r>
          </w:p>
        </w:tc>
      </w:tr>
      <w:tr w14:paraId="4C46CBE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C2130">
            <w:pPr>
              <w:pStyle w:val="14"/>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52399">
            <w:pPr>
              <w:pStyle w:val="14"/>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BE612">
            <w:pPr>
              <w:pStyle w:val="14"/>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2BB81">
            <w:pPr>
              <w:pStyle w:val="14"/>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72123">
            <w:pPr>
              <w:pStyle w:val="14"/>
              <w:spacing w:beforeAutospacing="0" w:afterAutospacing="0"/>
              <w:jc w:val="center"/>
              <w:rPr>
                <w:highlight w:val="none"/>
              </w:rPr>
            </w:pPr>
            <w:r>
              <w:rPr>
                <w:highlight w:val="none"/>
              </w:rPr>
              <w:t> </w:t>
            </w:r>
          </w:p>
        </w:tc>
      </w:tr>
      <w:tr w14:paraId="1AD28F7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F8B3F">
            <w:pPr>
              <w:pStyle w:val="14"/>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CDC77">
            <w:pPr>
              <w:pStyle w:val="14"/>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05B54">
            <w:pPr>
              <w:pStyle w:val="14"/>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4CE64">
            <w:pPr>
              <w:pStyle w:val="14"/>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C395F">
            <w:pPr>
              <w:pStyle w:val="14"/>
              <w:spacing w:beforeAutospacing="0" w:afterAutospacing="0"/>
              <w:jc w:val="center"/>
              <w:rPr>
                <w:highlight w:val="none"/>
              </w:rPr>
            </w:pPr>
            <w:r>
              <w:rPr>
                <w:highlight w:val="none"/>
              </w:rPr>
              <w:t> </w:t>
            </w:r>
          </w:p>
        </w:tc>
      </w:tr>
      <w:tr w14:paraId="3A13CA4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95AB7">
            <w:pPr>
              <w:pStyle w:val="14"/>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CCEF1">
            <w:pPr>
              <w:pStyle w:val="14"/>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25450">
            <w:pPr>
              <w:pStyle w:val="14"/>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159AF">
            <w:pPr>
              <w:pStyle w:val="14"/>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CB8C6">
            <w:pPr>
              <w:pStyle w:val="14"/>
              <w:spacing w:beforeAutospacing="0" w:afterAutospacing="0"/>
              <w:jc w:val="center"/>
              <w:rPr>
                <w:highlight w:val="none"/>
              </w:rPr>
            </w:pPr>
            <w:r>
              <w:rPr>
                <w:highlight w:val="none"/>
              </w:rPr>
              <w:t> </w:t>
            </w:r>
          </w:p>
        </w:tc>
      </w:tr>
    </w:tbl>
    <w:p w14:paraId="0515F675">
      <w:pPr>
        <w:pStyle w:val="14"/>
        <w:spacing w:beforeAutospacing="0" w:afterAutospacing="0"/>
        <w:jc w:val="both"/>
        <w:rPr>
          <w:highlight w:val="none"/>
        </w:rPr>
      </w:pPr>
      <w:r>
        <w:rPr>
          <w:rFonts w:hint="eastAsia" w:ascii="宋体" w:hAnsi="宋体" w:eastAsia="宋体" w:cs="宋体"/>
          <w:color w:val="000000"/>
          <w:highlight w:val="none"/>
        </w:rPr>
        <w:t>注： 行数不够，可自行添加。</w:t>
      </w:r>
    </w:p>
    <w:p w14:paraId="4F9477BB">
      <w:pPr>
        <w:pStyle w:val="14"/>
        <w:spacing w:beforeAutospacing="0" w:afterAutospacing="0" w:line="480" w:lineRule="auto"/>
        <w:jc w:val="both"/>
        <w:rPr>
          <w:highlight w:val="none"/>
        </w:rPr>
      </w:pPr>
      <w:r>
        <w:rPr>
          <w:highlight w:val="none"/>
        </w:rPr>
        <w:t> </w:t>
      </w:r>
    </w:p>
    <w:p w14:paraId="771A2ABD">
      <w:pPr>
        <w:pStyle w:val="14"/>
        <w:spacing w:beforeAutospacing="0" w:afterAutospacing="0" w:line="480" w:lineRule="auto"/>
        <w:jc w:val="both"/>
        <w:rPr>
          <w:highlight w:val="none"/>
        </w:rPr>
      </w:pPr>
      <w:r>
        <w:rPr>
          <w:highlight w:val="none"/>
        </w:rPr>
        <w:t> </w:t>
      </w:r>
    </w:p>
    <w:p w14:paraId="6564921F">
      <w:pPr>
        <w:pStyle w:val="14"/>
        <w:spacing w:beforeAutospacing="0" w:afterAutospacing="0"/>
        <w:jc w:val="center"/>
        <w:rPr>
          <w:highlight w:val="none"/>
        </w:rPr>
      </w:pPr>
      <w:bookmarkStart w:id="202" w:name="_Toc462564146"/>
      <w:bookmarkStart w:id="203" w:name="_Hlt26955066"/>
      <w:bookmarkStart w:id="204" w:name="_Hlt26671374"/>
      <w:bookmarkStart w:id="205" w:name="_格式2__法定代表人授权书"/>
      <w:bookmarkStart w:id="206" w:name="_Hlt26609389"/>
      <w:r>
        <w:rPr>
          <w:highlight w:val="none"/>
        </w:rPr>
        <w:t> </w:t>
      </w:r>
    </w:p>
    <w:p w14:paraId="43E033E8">
      <w:pPr>
        <w:pStyle w:val="14"/>
        <w:spacing w:beforeAutospacing="0" w:afterAutospacing="0"/>
        <w:jc w:val="both"/>
        <w:rPr>
          <w:highlight w:val="none"/>
        </w:rPr>
      </w:pPr>
      <w:r>
        <w:rPr>
          <w:highlight w:val="none"/>
        </w:rPr>
        <w:t> </w:t>
      </w:r>
    </w:p>
    <w:p w14:paraId="34DD36AA">
      <w:pPr>
        <w:pStyle w:val="14"/>
        <w:spacing w:beforeAutospacing="0" w:afterAutospacing="0"/>
        <w:jc w:val="both"/>
        <w:rPr>
          <w:highlight w:val="none"/>
        </w:rPr>
      </w:pPr>
      <w:r>
        <w:rPr>
          <w:highlight w:val="none"/>
        </w:rPr>
        <w:t> </w:t>
      </w:r>
    </w:p>
    <w:p w14:paraId="0B59FED3">
      <w:pPr>
        <w:pStyle w:val="14"/>
        <w:spacing w:beforeAutospacing="0" w:afterAutospacing="0"/>
        <w:jc w:val="both"/>
        <w:rPr>
          <w:highlight w:val="none"/>
        </w:rPr>
      </w:pPr>
    </w:p>
    <w:p w14:paraId="674A53C6">
      <w:pPr>
        <w:pStyle w:val="14"/>
        <w:spacing w:beforeAutospacing="0" w:afterAutospacing="0"/>
        <w:jc w:val="both"/>
        <w:rPr>
          <w:highlight w:val="none"/>
        </w:rPr>
      </w:pPr>
    </w:p>
    <w:p w14:paraId="7646B14A">
      <w:pPr>
        <w:pStyle w:val="14"/>
        <w:spacing w:beforeAutospacing="0" w:afterAutospacing="0"/>
        <w:jc w:val="both"/>
        <w:rPr>
          <w:highlight w:val="none"/>
        </w:rPr>
      </w:pPr>
    </w:p>
    <w:p w14:paraId="18437834">
      <w:pPr>
        <w:pStyle w:val="14"/>
        <w:spacing w:beforeAutospacing="0" w:afterAutospacing="0"/>
        <w:jc w:val="both"/>
        <w:rPr>
          <w:highlight w:val="none"/>
        </w:rPr>
      </w:pPr>
    </w:p>
    <w:p w14:paraId="6AC5CF75">
      <w:pPr>
        <w:pStyle w:val="14"/>
        <w:spacing w:beforeAutospacing="0" w:afterAutospacing="0"/>
        <w:jc w:val="both"/>
        <w:rPr>
          <w:highlight w:val="none"/>
        </w:rPr>
      </w:pPr>
    </w:p>
    <w:p w14:paraId="4402A329">
      <w:pPr>
        <w:pStyle w:val="14"/>
        <w:spacing w:beforeAutospacing="0" w:afterAutospacing="0"/>
        <w:jc w:val="both"/>
        <w:rPr>
          <w:highlight w:val="none"/>
        </w:rPr>
      </w:pPr>
    </w:p>
    <w:p w14:paraId="433415F5">
      <w:pPr>
        <w:pStyle w:val="14"/>
        <w:spacing w:beforeAutospacing="0" w:afterAutospacing="0"/>
        <w:jc w:val="both"/>
        <w:rPr>
          <w:highlight w:val="none"/>
        </w:rPr>
      </w:pPr>
    </w:p>
    <w:p w14:paraId="664A23CF">
      <w:pPr>
        <w:pStyle w:val="14"/>
        <w:spacing w:beforeAutospacing="0" w:afterAutospacing="0"/>
        <w:jc w:val="both"/>
        <w:rPr>
          <w:highlight w:val="none"/>
        </w:rPr>
      </w:pPr>
    </w:p>
    <w:p w14:paraId="577CDDA2">
      <w:pPr>
        <w:pStyle w:val="14"/>
        <w:spacing w:beforeAutospacing="0" w:afterAutospacing="0"/>
        <w:jc w:val="both"/>
        <w:rPr>
          <w:highlight w:val="none"/>
        </w:rPr>
      </w:pPr>
    </w:p>
    <w:p w14:paraId="2C30742F">
      <w:pPr>
        <w:pStyle w:val="14"/>
        <w:spacing w:beforeAutospacing="0" w:afterAutospacing="0"/>
        <w:jc w:val="both"/>
        <w:rPr>
          <w:highlight w:val="none"/>
        </w:rPr>
      </w:pPr>
    </w:p>
    <w:p w14:paraId="3BA22CC3">
      <w:pPr>
        <w:pStyle w:val="14"/>
        <w:spacing w:beforeAutospacing="0" w:afterAutospacing="0"/>
        <w:jc w:val="both"/>
        <w:rPr>
          <w:highlight w:val="none"/>
        </w:rPr>
      </w:pPr>
    </w:p>
    <w:p w14:paraId="284FF7FD">
      <w:pPr>
        <w:pStyle w:val="14"/>
        <w:spacing w:beforeAutospacing="0" w:afterAutospacing="0"/>
        <w:jc w:val="both"/>
        <w:rPr>
          <w:highlight w:val="none"/>
        </w:rPr>
      </w:pPr>
    </w:p>
    <w:p w14:paraId="770C7ECF">
      <w:pPr>
        <w:pStyle w:val="14"/>
        <w:spacing w:beforeAutospacing="0" w:afterAutospacing="0"/>
        <w:jc w:val="both"/>
        <w:rPr>
          <w:highlight w:val="none"/>
        </w:rPr>
      </w:pPr>
    </w:p>
    <w:p w14:paraId="53A5D0DD">
      <w:pPr>
        <w:pStyle w:val="14"/>
        <w:spacing w:beforeAutospacing="0" w:afterAutospacing="0"/>
        <w:jc w:val="both"/>
        <w:rPr>
          <w:highlight w:val="none"/>
        </w:rPr>
      </w:pPr>
    </w:p>
    <w:p w14:paraId="40922275">
      <w:pPr>
        <w:pStyle w:val="14"/>
        <w:spacing w:beforeAutospacing="0" w:afterAutospacing="0"/>
        <w:jc w:val="center"/>
        <w:rPr>
          <w:rFonts w:hint="eastAsia" w:ascii="黑体" w:hAnsi="宋体" w:eastAsia="黑体" w:cs="黑体"/>
          <w:b/>
          <w:i w:val="0"/>
          <w:iCs/>
          <w:color w:val="auto"/>
          <w:sz w:val="32"/>
          <w:szCs w:val="32"/>
          <w:highlight w:val="none"/>
          <w:u w:val="none"/>
        </w:rPr>
      </w:pPr>
    </w:p>
    <w:p w14:paraId="72CA5A2B">
      <w:pPr>
        <w:pStyle w:val="14"/>
        <w:spacing w:beforeAutospacing="0" w:afterAutospacing="0"/>
        <w:jc w:val="center"/>
        <w:rPr>
          <w:i w:val="0"/>
          <w:iCs/>
          <w:color w:val="auto"/>
          <w:highlight w:val="none"/>
          <w:u w:val="none"/>
        </w:rPr>
      </w:pPr>
      <w:r>
        <w:rPr>
          <w:rFonts w:hint="eastAsia" w:ascii="黑体" w:hAnsi="宋体" w:eastAsia="黑体" w:cs="黑体"/>
          <w:b/>
          <w:i w:val="0"/>
          <w:iCs/>
          <w:color w:val="auto"/>
          <w:sz w:val="32"/>
          <w:szCs w:val="32"/>
          <w:highlight w:val="none"/>
          <w:u w:val="none"/>
        </w:rPr>
        <w:t>十</w:t>
      </w:r>
      <w:r>
        <w:rPr>
          <w:rFonts w:hint="eastAsia" w:ascii="黑体" w:hAnsi="宋体" w:eastAsia="黑体" w:cs="黑体"/>
          <w:b/>
          <w:i w:val="0"/>
          <w:iCs/>
          <w:color w:val="auto"/>
          <w:sz w:val="32"/>
          <w:szCs w:val="32"/>
          <w:highlight w:val="none"/>
          <w:u w:val="none"/>
          <w:lang w:eastAsia="zh-CN"/>
        </w:rPr>
        <w:t>六</w:t>
      </w:r>
      <w:r>
        <w:rPr>
          <w:rFonts w:hint="eastAsia" w:ascii="黑体" w:hAnsi="宋体" w:eastAsia="黑体" w:cs="黑体"/>
          <w:b/>
          <w:i w:val="0"/>
          <w:iCs/>
          <w:color w:val="auto"/>
          <w:sz w:val="32"/>
          <w:szCs w:val="32"/>
          <w:highlight w:val="none"/>
          <w:u w:val="none"/>
        </w:rPr>
        <w:t>、开标一览表</w:t>
      </w:r>
    </w:p>
    <w:p w14:paraId="70B14AA4">
      <w:pPr>
        <w:pStyle w:val="14"/>
        <w:spacing w:beforeAutospacing="0" w:afterAutospacing="0" w:line="360" w:lineRule="auto"/>
        <w:ind w:firstLine="480"/>
        <w:jc w:val="both"/>
        <w:rPr>
          <w:color w:val="auto"/>
          <w:highlight w:val="none"/>
        </w:rPr>
      </w:pPr>
      <w:r>
        <w:rPr>
          <w:rFonts w:hint="eastAsia" w:ascii="宋体" w:hAnsi="宋体" w:eastAsia="宋体" w:cs="宋体"/>
          <w:color w:val="auto"/>
          <w:highlight w:val="none"/>
        </w:rPr>
        <w:t>投标人全称（加盖CA电子签章）：</w:t>
      </w:r>
    </w:p>
    <w:p w14:paraId="4361FD6A">
      <w:pPr>
        <w:pStyle w:val="14"/>
        <w:spacing w:beforeAutospacing="0" w:afterAutospacing="0" w:line="360" w:lineRule="auto"/>
        <w:ind w:firstLine="480"/>
        <w:jc w:val="both"/>
        <w:rPr>
          <w:color w:val="auto"/>
          <w:highlight w:val="none"/>
        </w:rPr>
      </w:pPr>
      <w:r>
        <w:rPr>
          <w:rFonts w:hint="eastAsia" w:ascii="宋体" w:hAnsi="宋体" w:eastAsia="宋体" w:cs="宋体"/>
          <w:color w:val="auto"/>
          <w:highlight w:val="none"/>
        </w:rPr>
        <w:t>项目名称：</w:t>
      </w:r>
    </w:p>
    <w:p w14:paraId="3003A85B">
      <w:pPr>
        <w:pStyle w:val="14"/>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p w14:paraId="5DD53558">
      <w:pPr>
        <w:pStyle w:val="14"/>
        <w:spacing w:beforeAutospacing="0" w:afterAutospacing="0" w:line="360" w:lineRule="auto"/>
        <w:ind w:firstLine="480"/>
        <w:jc w:val="both"/>
        <w:rPr>
          <w:rFonts w:hint="eastAsia" w:eastAsia="宋体"/>
          <w:color w:val="auto"/>
          <w:highlight w:val="none"/>
          <w:lang w:val="en-US" w:eastAsia="zh-CN"/>
        </w:rPr>
      </w:pPr>
      <w:r>
        <w:rPr>
          <w:rFonts w:hint="eastAsia" w:ascii="宋体" w:hAnsi="宋体" w:eastAsia="宋体" w:cs="宋体"/>
          <w:color w:val="auto"/>
          <w:highlight w:val="none"/>
        </w:rPr>
        <w:t>分包号：</w:t>
      </w:r>
      <w:r>
        <w:rPr>
          <w:rFonts w:hint="eastAsia" w:ascii="宋体" w:hAnsi="宋体" w:eastAsia="宋体" w:cs="宋体"/>
          <w:color w:val="auto"/>
          <w:highlight w:val="none"/>
          <w:lang w:val="en-US" w:eastAsia="zh-CN"/>
        </w:rPr>
        <w:t>/</w:t>
      </w:r>
    </w:p>
    <w:tbl>
      <w:tblPr>
        <w:tblStyle w:val="16"/>
        <w:tblW w:w="8206" w:type="dxa"/>
        <w:tblCellSpacing w:w="0" w:type="dxa"/>
        <w:tblInd w:w="118" w:type="dxa"/>
        <w:tblLayout w:type="fixed"/>
        <w:tblCellMar>
          <w:top w:w="0" w:type="dxa"/>
          <w:left w:w="108" w:type="dxa"/>
          <w:bottom w:w="0" w:type="dxa"/>
          <w:right w:w="108" w:type="dxa"/>
        </w:tblCellMar>
      </w:tblPr>
      <w:tblGrid>
        <w:gridCol w:w="8206"/>
      </w:tblGrid>
      <w:tr w14:paraId="7E2950EC">
        <w:tblPrEx>
          <w:tblCellMar>
            <w:top w:w="0" w:type="dxa"/>
            <w:left w:w="108" w:type="dxa"/>
            <w:bottom w:w="0" w:type="dxa"/>
            <w:right w:w="108" w:type="dxa"/>
          </w:tblCellMar>
        </w:tblPrEx>
        <w:trPr>
          <w:trHeight w:val="75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5B03">
            <w:pPr>
              <w:pStyle w:val="14"/>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22A141A0">
        <w:tblPrEx>
          <w:tblCellMar>
            <w:top w:w="0" w:type="dxa"/>
            <w:left w:w="108" w:type="dxa"/>
            <w:bottom w:w="0" w:type="dxa"/>
            <w:right w:w="108" w:type="dxa"/>
          </w:tblCellMar>
        </w:tblPrEx>
        <w:trPr>
          <w:trHeight w:val="957"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6054">
            <w:pPr>
              <w:pStyle w:val="14"/>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r>
              <w:rPr>
                <w:b/>
                <w:sz w:val="24"/>
                <w:szCs w:val="24"/>
              </w:rPr>
              <w:t>人民币(大写)         元</w:t>
            </w:r>
            <w:r>
              <w:rPr>
                <w:rFonts w:hint="eastAsia"/>
                <w:b/>
                <w:sz w:val="24"/>
                <w:szCs w:val="24"/>
                <w:lang w:val="en-US" w:eastAsia="zh-CN"/>
              </w:rPr>
              <w:t>/</w:t>
            </w:r>
            <w:r>
              <w:rPr>
                <w:b/>
                <w:sz w:val="24"/>
                <w:szCs w:val="24"/>
              </w:rPr>
              <w:t>年</w:t>
            </w:r>
          </w:p>
        </w:tc>
      </w:tr>
      <w:tr w14:paraId="01368C81">
        <w:tblPrEx>
          <w:tblCellMar>
            <w:top w:w="0" w:type="dxa"/>
            <w:left w:w="108" w:type="dxa"/>
            <w:bottom w:w="0" w:type="dxa"/>
            <w:right w:w="108" w:type="dxa"/>
          </w:tblCellMar>
        </w:tblPrEx>
        <w:trPr>
          <w:trHeight w:val="957"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DAB5D">
            <w:pPr>
              <w:pStyle w:val="14"/>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小写：</w:t>
            </w:r>
            <w:r>
              <w:rPr>
                <w:b/>
                <w:sz w:val="24"/>
                <w:szCs w:val="24"/>
              </w:rPr>
              <w:t>人民币(大写)         元</w:t>
            </w:r>
            <w:r>
              <w:rPr>
                <w:rFonts w:hint="eastAsia"/>
                <w:b/>
                <w:sz w:val="24"/>
                <w:szCs w:val="24"/>
                <w:lang w:val="en-US" w:eastAsia="zh-CN"/>
              </w:rPr>
              <w:t>/</w:t>
            </w:r>
            <w:r>
              <w:rPr>
                <w:b/>
                <w:sz w:val="24"/>
                <w:szCs w:val="24"/>
              </w:rPr>
              <w:t>年</w:t>
            </w:r>
          </w:p>
        </w:tc>
      </w:tr>
    </w:tbl>
    <w:p w14:paraId="083F367D">
      <w:pPr>
        <w:pStyle w:val="14"/>
        <w:spacing w:beforeAutospacing="0" w:afterAutospacing="0"/>
        <w:jc w:val="both"/>
        <w:rPr>
          <w:color w:val="auto"/>
          <w:highlight w:val="none"/>
        </w:rPr>
      </w:pPr>
      <w:r>
        <w:rPr>
          <w:color w:val="auto"/>
          <w:highlight w:val="none"/>
        </w:rPr>
        <w:t> </w:t>
      </w:r>
    </w:p>
    <w:p w14:paraId="15F53820">
      <w:pPr>
        <w:pStyle w:val="14"/>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19BDBE5">
      <w:pPr>
        <w:pStyle w:val="7"/>
        <w:spacing w:line="480" w:lineRule="auto"/>
        <w:rPr>
          <w:rFonts w:ascii="Times New Roman" w:eastAsia="宋体"/>
          <w:sz w:val="24"/>
          <w:szCs w:val="24"/>
        </w:rPr>
      </w:pPr>
    </w:p>
    <w:p w14:paraId="1B5D6B9D">
      <w:pPr>
        <w:pStyle w:val="14"/>
        <w:spacing w:beforeAutospacing="0" w:afterAutospacing="0"/>
        <w:ind w:firstLine="480"/>
        <w:jc w:val="both"/>
        <w:rPr>
          <w:highlight w:val="none"/>
        </w:rPr>
      </w:pPr>
      <w:r>
        <w:rPr>
          <w:highlight w:val="none"/>
        </w:rPr>
        <w:t> </w:t>
      </w:r>
    </w:p>
    <w:p w14:paraId="29D1AF51">
      <w:pPr>
        <w:widowControl/>
        <w:spacing w:before="50" w:after="50"/>
        <w:jc w:val="center"/>
        <w:rPr>
          <w:highlight w:val="none"/>
        </w:rPr>
      </w:pPr>
      <w:r>
        <w:rPr>
          <w:highlight w:val="none"/>
        </w:rPr>
        <w:tab/>
      </w:r>
    </w:p>
    <w:p w14:paraId="0C1E89E2">
      <w:pPr>
        <w:widowControl/>
        <w:spacing w:before="50" w:after="50"/>
        <w:jc w:val="center"/>
        <w:rPr>
          <w:highlight w:val="none"/>
        </w:rPr>
      </w:pPr>
    </w:p>
    <w:p w14:paraId="05D2FFD8">
      <w:pPr>
        <w:widowControl/>
        <w:spacing w:before="50" w:after="50"/>
        <w:jc w:val="center"/>
        <w:rPr>
          <w:highlight w:val="none"/>
        </w:rPr>
      </w:pPr>
    </w:p>
    <w:p w14:paraId="1A2AFD28">
      <w:pPr>
        <w:widowControl/>
        <w:spacing w:before="50" w:after="50"/>
        <w:jc w:val="center"/>
        <w:rPr>
          <w:highlight w:val="none"/>
        </w:rPr>
      </w:pPr>
    </w:p>
    <w:p w14:paraId="6D889CAB">
      <w:pPr>
        <w:widowControl/>
        <w:spacing w:before="50" w:after="50"/>
        <w:jc w:val="center"/>
        <w:rPr>
          <w:rFonts w:hint="eastAsia" w:ascii="宋体" w:hAnsi="宋体" w:eastAsia="宋体" w:cs="宋体"/>
          <w:b/>
          <w:bCs/>
          <w:color w:val="000000"/>
          <w:sz w:val="32"/>
          <w:szCs w:val="32"/>
          <w:highlight w:val="none"/>
        </w:rPr>
      </w:pPr>
    </w:p>
    <w:p w14:paraId="2501F11F">
      <w:pPr>
        <w:widowControl/>
        <w:spacing w:before="50" w:after="50"/>
        <w:jc w:val="center"/>
        <w:rPr>
          <w:rFonts w:hint="eastAsia" w:ascii="宋体" w:hAnsi="宋体" w:eastAsia="宋体" w:cs="宋体"/>
          <w:b/>
          <w:bCs/>
          <w:color w:val="000000"/>
          <w:sz w:val="32"/>
          <w:szCs w:val="32"/>
          <w:highlight w:val="none"/>
        </w:rPr>
      </w:pPr>
    </w:p>
    <w:p w14:paraId="2C22DD76">
      <w:pPr>
        <w:widowControl/>
        <w:spacing w:before="50" w:after="50"/>
        <w:jc w:val="center"/>
        <w:rPr>
          <w:rFonts w:hint="eastAsia" w:ascii="宋体" w:hAnsi="宋体" w:eastAsia="宋体" w:cs="宋体"/>
          <w:b/>
          <w:bCs/>
          <w:color w:val="000000"/>
          <w:sz w:val="32"/>
          <w:szCs w:val="32"/>
          <w:highlight w:val="none"/>
        </w:rPr>
      </w:pPr>
    </w:p>
    <w:p w14:paraId="13602B74">
      <w:pPr>
        <w:widowControl/>
        <w:spacing w:before="50" w:after="50"/>
        <w:jc w:val="center"/>
        <w:rPr>
          <w:rFonts w:hint="eastAsia" w:ascii="宋体" w:hAnsi="宋体" w:eastAsia="宋体" w:cs="宋体"/>
          <w:b/>
          <w:bCs/>
          <w:color w:val="000000"/>
          <w:sz w:val="32"/>
          <w:szCs w:val="32"/>
          <w:highlight w:val="none"/>
        </w:rPr>
      </w:pPr>
    </w:p>
    <w:p w14:paraId="3109BD56">
      <w:pPr>
        <w:widowControl/>
        <w:spacing w:before="50" w:after="50"/>
        <w:jc w:val="center"/>
        <w:rPr>
          <w:rFonts w:hint="eastAsia" w:ascii="宋体" w:hAnsi="宋体" w:eastAsia="宋体" w:cs="宋体"/>
          <w:b/>
          <w:bCs/>
          <w:color w:val="000000"/>
          <w:sz w:val="32"/>
          <w:szCs w:val="32"/>
          <w:highlight w:val="none"/>
        </w:rPr>
      </w:pPr>
    </w:p>
    <w:p w14:paraId="552681B3">
      <w:pPr>
        <w:widowControl/>
        <w:spacing w:before="50" w:after="50"/>
        <w:jc w:val="center"/>
        <w:rPr>
          <w:rFonts w:hint="eastAsia" w:ascii="宋体" w:hAnsi="宋体" w:eastAsia="宋体" w:cs="宋体"/>
          <w:b/>
          <w:bCs/>
          <w:color w:val="000000"/>
          <w:sz w:val="32"/>
          <w:szCs w:val="32"/>
          <w:highlight w:val="none"/>
        </w:rPr>
      </w:pPr>
    </w:p>
    <w:p w14:paraId="770265C8">
      <w:pPr>
        <w:widowControl/>
        <w:spacing w:before="50" w:after="50"/>
        <w:jc w:val="center"/>
        <w:rPr>
          <w:rFonts w:hint="eastAsia" w:ascii="宋体" w:hAnsi="宋体" w:eastAsia="宋体" w:cs="宋体"/>
          <w:b/>
          <w:bCs/>
          <w:color w:val="000000"/>
          <w:sz w:val="32"/>
          <w:szCs w:val="32"/>
          <w:highlight w:val="none"/>
        </w:rPr>
      </w:pPr>
    </w:p>
    <w:p w14:paraId="586C00EE">
      <w:pPr>
        <w:widowControl/>
        <w:spacing w:before="50" w:after="50"/>
        <w:jc w:val="center"/>
        <w:rPr>
          <w:rFonts w:hint="eastAsia" w:ascii="宋体" w:hAnsi="宋体" w:eastAsia="宋体" w:cs="宋体"/>
          <w:b/>
          <w:bCs/>
          <w:color w:val="000000"/>
          <w:sz w:val="32"/>
          <w:szCs w:val="32"/>
          <w:highlight w:val="none"/>
        </w:rPr>
      </w:pPr>
    </w:p>
    <w:p w14:paraId="7004870A">
      <w:pPr>
        <w:widowControl/>
        <w:spacing w:before="50" w:after="50"/>
        <w:jc w:val="center"/>
        <w:rPr>
          <w:rFonts w:ascii="宋体" w:hAnsi="宋体" w:eastAsia="宋体" w:cs="宋体"/>
          <w:b/>
          <w:bCs/>
          <w:sz w:val="24"/>
          <w:highlight w:val="none"/>
        </w:rPr>
      </w:pPr>
      <w:r>
        <w:rPr>
          <w:rFonts w:hint="eastAsia" w:ascii="宋体" w:hAnsi="宋体" w:eastAsia="宋体" w:cs="宋体"/>
          <w:b/>
          <w:bCs/>
          <w:color w:val="000000"/>
          <w:sz w:val="32"/>
          <w:szCs w:val="32"/>
          <w:highlight w:val="none"/>
        </w:rPr>
        <w:t>十</w:t>
      </w:r>
      <w:r>
        <w:rPr>
          <w:rFonts w:hint="eastAsia" w:ascii="宋体" w:hAnsi="宋体" w:eastAsia="宋体" w:cs="宋体"/>
          <w:b/>
          <w:bCs/>
          <w:color w:val="000000"/>
          <w:sz w:val="32"/>
          <w:szCs w:val="32"/>
          <w:highlight w:val="none"/>
          <w:lang w:eastAsia="zh-CN"/>
        </w:rPr>
        <w:t>七</w:t>
      </w:r>
      <w:r>
        <w:rPr>
          <w:rFonts w:hint="eastAsia" w:ascii="宋体" w:hAnsi="宋体" w:eastAsia="宋体" w:cs="宋体"/>
          <w:b/>
          <w:bCs/>
          <w:color w:val="000000"/>
          <w:sz w:val="32"/>
          <w:szCs w:val="32"/>
          <w:highlight w:val="none"/>
        </w:rPr>
        <w:t>、技术方案、服务承诺、培训承诺等</w:t>
      </w:r>
    </w:p>
    <w:p w14:paraId="7B35C616">
      <w:pPr>
        <w:pStyle w:val="14"/>
        <w:tabs>
          <w:tab w:val="left" w:pos="2160"/>
        </w:tabs>
        <w:spacing w:beforeAutospacing="0" w:afterAutospacing="0"/>
        <w:jc w:val="both"/>
        <w:rPr>
          <w:highlight w:val="none"/>
        </w:rPr>
      </w:pPr>
    </w:p>
    <w:p w14:paraId="2E05F151">
      <w:pPr>
        <w:widowControl/>
        <w:spacing w:line="499" w:lineRule="atLeast"/>
        <w:ind w:firstLine="1600"/>
        <w:rPr>
          <w:rFonts w:ascii="宋体" w:hAnsi="宋体" w:eastAsia="宋体" w:cs="宋体"/>
          <w:color w:val="000000"/>
          <w:sz w:val="32"/>
          <w:szCs w:val="32"/>
          <w:highlight w:val="none"/>
        </w:rPr>
      </w:pPr>
    </w:p>
    <w:p w14:paraId="4A600B49">
      <w:pPr>
        <w:widowControl/>
        <w:spacing w:line="499" w:lineRule="atLeast"/>
        <w:ind w:firstLine="1600"/>
        <w:rPr>
          <w:rFonts w:ascii="宋体" w:hAnsi="宋体" w:eastAsia="宋体" w:cs="宋体"/>
          <w:color w:val="000000"/>
          <w:sz w:val="32"/>
          <w:szCs w:val="32"/>
          <w:highlight w:val="none"/>
        </w:rPr>
      </w:pPr>
    </w:p>
    <w:p w14:paraId="0BD27D1B">
      <w:pPr>
        <w:widowControl/>
        <w:spacing w:line="499" w:lineRule="atLeast"/>
        <w:ind w:firstLine="1600"/>
        <w:rPr>
          <w:rFonts w:ascii="宋体" w:hAnsi="宋体" w:eastAsia="宋体" w:cs="宋体"/>
          <w:color w:val="000000"/>
          <w:sz w:val="32"/>
          <w:szCs w:val="32"/>
          <w:highlight w:val="none"/>
        </w:rPr>
      </w:pPr>
    </w:p>
    <w:p w14:paraId="26590AC4">
      <w:pPr>
        <w:widowControl/>
        <w:spacing w:line="499" w:lineRule="atLeast"/>
        <w:ind w:firstLine="1600"/>
        <w:rPr>
          <w:rFonts w:ascii="宋体" w:hAnsi="宋体" w:eastAsia="宋体" w:cs="宋体"/>
          <w:color w:val="000000"/>
          <w:sz w:val="32"/>
          <w:szCs w:val="32"/>
          <w:highlight w:val="none"/>
        </w:rPr>
      </w:pPr>
    </w:p>
    <w:p w14:paraId="2AA4ACEE">
      <w:pPr>
        <w:widowControl/>
        <w:spacing w:line="499" w:lineRule="atLeast"/>
        <w:ind w:firstLine="1600"/>
        <w:rPr>
          <w:rFonts w:ascii="宋体" w:hAnsi="宋体" w:eastAsia="宋体" w:cs="宋体"/>
          <w:color w:val="000000"/>
          <w:sz w:val="32"/>
          <w:szCs w:val="32"/>
          <w:highlight w:val="none"/>
        </w:rPr>
      </w:pPr>
    </w:p>
    <w:p w14:paraId="3941763E">
      <w:pPr>
        <w:widowControl/>
        <w:spacing w:line="499" w:lineRule="atLeast"/>
        <w:ind w:firstLine="1600"/>
        <w:rPr>
          <w:rFonts w:ascii="宋体" w:hAnsi="宋体" w:eastAsia="宋体" w:cs="宋体"/>
          <w:color w:val="000000"/>
          <w:sz w:val="32"/>
          <w:szCs w:val="32"/>
          <w:highlight w:val="none"/>
        </w:rPr>
      </w:pPr>
    </w:p>
    <w:p w14:paraId="7BDE8637">
      <w:pPr>
        <w:widowControl/>
        <w:spacing w:line="499" w:lineRule="atLeast"/>
        <w:ind w:firstLine="1600"/>
        <w:rPr>
          <w:rFonts w:ascii="宋体" w:hAnsi="宋体" w:eastAsia="宋体" w:cs="宋体"/>
          <w:color w:val="000000"/>
          <w:sz w:val="32"/>
          <w:szCs w:val="32"/>
          <w:highlight w:val="none"/>
        </w:rPr>
      </w:pPr>
    </w:p>
    <w:p w14:paraId="28C20E5A">
      <w:pPr>
        <w:widowControl/>
        <w:spacing w:line="499" w:lineRule="atLeast"/>
        <w:ind w:firstLine="1600"/>
        <w:rPr>
          <w:rFonts w:ascii="宋体" w:hAnsi="宋体" w:eastAsia="宋体" w:cs="宋体"/>
          <w:color w:val="000000"/>
          <w:sz w:val="32"/>
          <w:szCs w:val="32"/>
          <w:highlight w:val="none"/>
        </w:rPr>
      </w:pPr>
    </w:p>
    <w:p w14:paraId="68A65AD9">
      <w:pPr>
        <w:widowControl/>
        <w:spacing w:line="499" w:lineRule="atLeast"/>
        <w:ind w:firstLine="1600"/>
        <w:rPr>
          <w:rFonts w:ascii="宋体" w:hAnsi="宋体" w:eastAsia="宋体" w:cs="宋体"/>
          <w:color w:val="000000"/>
          <w:sz w:val="32"/>
          <w:szCs w:val="32"/>
          <w:highlight w:val="none"/>
        </w:rPr>
      </w:pPr>
    </w:p>
    <w:p w14:paraId="3102B3C3">
      <w:pPr>
        <w:widowControl/>
        <w:spacing w:line="499" w:lineRule="atLeast"/>
        <w:ind w:firstLine="1600"/>
        <w:rPr>
          <w:rFonts w:ascii="宋体" w:hAnsi="宋体" w:eastAsia="宋体" w:cs="宋体"/>
          <w:color w:val="000000"/>
          <w:sz w:val="32"/>
          <w:szCs w:val="32"/>
          <w:highlight w:val="none"/>
        </w:rPr>
      </w:pPr>
    </w:p>
    <w:p w14:paraId="61F78CD7">
      <w:pPr>
        <w:widowControl/>
        <w:spacing w:line="499" w:lineRule="atLeast"/>
        <w:ind w:firstLine="1600"/>
        <w:rPr>
          <w:rFonts w:ascii="宋体" w:hAnsi="宋体" w:eastAsia="宋体" w:cs="宋体"/>
          <w:color w:val="000000"/>
          <w:sz w:val="32"/>
          <w:szCs w:val="32"/>
          <w:highlight w:val="none"/>
        </w:rPr>
      </w:pPr>
    </w:p>
    <w:p w14:paraId="40ABC58B">
      <w:pPr>
        <w:widowControl/>
        <w:spacing w:line="499" w:lineRule="atLeast"/>
        <w:ind w:firstLine="1600"/>
        <w:rPr>
          <w:rFonts w:ascii="宋体" w:hAnsi="宋体" w:eastAsia="宋体" w:cs="宋体"/>
          <w:color w:val="000000"/>
          <w:sz w:val="32"/>
          <w:szCs w:val="32"/>
          <w:highlight w:val="none"/>
        </w:rPr>
      </w:pPr>
    </w:p>
    <w:p w14:paraId="38DB44D6">
      <w:pPr>
        <w:widowControl/>
        <w:spacing w:line="499" w:lineRule="atLeast"/>
        <w:ind w:firstLine="1600"/>
        <w:rPr>
          <w:rFonts w:ascii="宋体" w:hAnsi="宋体" w:eastAsia="宋体" w:cs="宋体"/>
          <w:color w:val="000000"/>
          <w:sz w:val="32"/>
          <w:szCs w:val="32"/>
          <w:highlight w:val="none"/>
        </w:rPr>
      </w:pPr>
    </w:p>
    <w:p w14:paraId="1FF3DE71">
      <w:pPr>
        <w:widowControl/>
        <w:spacing w:line="499" w:lineRule="atLeast"/>
        <w:ind w:firstLine="1600"/>
        <w:rPr>
          <w:rFonts w:ascii="宋体" w:hAnsi="宋体" w:eastAsia="宋体" w:cs="宋体"/>
          <w:color w:val="000000"/>
          <w:sz w:val="32"/>
          <w:szCs w:val="32"/>
          <w:highlight w:val="none"/>
        </w:rPr>
      </w:pPr>
    </w:p>
    <w:p w14:paraId="5078FCFC">
      <w:pPr>
        <w:widowControl/>
        <w:spacing w:line="499" w:lineRule="atLeast"/>
        <w:ind w:firstLine="1600"/>
        <w:rPr>
          <w:rFonts w:ascii="宋体" w:hAnsi="宋体" w:eastAsia="宋体" w:cs="宋体"/>
          <w:color w:val="000000"/>
          <w:sz w:val="32"/>
          <w:szCs w:val="32"/>
          <w:highlight w:val="none"/>
        </w:rPr>
      </w:pPr>
    </w:p>
    <w:p w14:paraId="685824D5">
      <w:pPr>
        <w:widowControl/>
        <w:spacing w:line="499" w:lineRule="atLeast"/>
        <w:ind w:firstLine="1600"/>
        <w:rPr>
          <w:rFonts w:ascii="宋体" w:hAnsi="宋体" w:eastAsia="宋体" w:cs="宋体"/>
          <w:color w:val="000000"/>
          <w:sz w:val="32"/>
          <w:szCs w:val="32"/>
          <w:highlight w:val="none"/>
        </w:rPr>
      </w:pPr>
    </w:p>
    <w:p w14:paraId="6075A9B9">
      <w:pPr>
        <w:widowControl/>
        <w:spacing w:line="499" w:lineRule="atLeast"/>
        <w:ind w:firstLine="1600"/>
        <w:rPr>
          <w:rFonts w:ascii="宋体" w:hAnsi="宋体" w:eastAsia="宋体" w:cs="宋体"/>
          <w:color w:val="000000"/>
          <w:sz w:val="32"/>
          <w:szCs w:val="32"/>
          <w:highlight w:val="none"/>
        </w:rPr>
      </w:pPr>
    </w:p>
    <w:p w14:paraId="2947B088">
      <w:pPr>
        <w:widowControl/>
        <w:spacing w:line="499" w:lineRule="atLeast"/>
        <w:ind w:firstLine="1600"/>
        <w:rPr>
          <w:rFonts w:ascii="宋体" w:hAnsi="宋体" w:eastAsia="宋体" w:cs="宋体"/>
          <w:color w:val="000000"/>
          <w:sz w:val="32"/>
          <w:szCs w:val="32"/>
          <w:highlight w:val="none"/>
        </w:rPr>
      </w:pPr>
    </w:p>
    <w:p w14:paraId="391DFE35">
      <w:pPr>
        <w:widowControl/>
        <w:spacing w:line="499" w:lineRule="atLeast"/>
        <w:ind w:firstLine="1600"/>
        <w:rPr>
          <w:rFonts w:ascii="宋体" w:hAnsi="宋体" w:eastAsia="宋体" w:cs="宋体"/>
          <w:color w:val="000000"/>
          <w:sz w:val="32"/>
          <w:szCs w:val="32"/>
          <w:highlight w:val="none"/>
        </w:rPr>
      </w:pPr>
    </w:p>
    <w:p w14:paraId="44D85E4E">
      <w:pPr>
        <w:widowControl/>
        <w:spacing w:line="499" w:lineRule="atLeast"/>
        <w:ind w:firstLine="1600"/>
        <w:rPr>
          <w:rFonts w:ascii="宋体" w:hAnsi="宋体" w:eastAsia="宋体" w:cs="宋体"/>
          <w:color w:val="000000"/>
          <w:sz w:val="32"/>
          <w:szCs w:val="32"/>
          <w:highlight w:val="none"/>
        </w:rPr>
      </w:pPr>
    </w:p>
    <w:p w14:paraId="4CFD966F">
      <w:pPr>
        <w:widowControl/>
        <w:spacing w:line="499" w:lineRule="atLeast"/>
        <w:ind w:firstLine="1600"/>
        <w:rPr>
          <w:rFonts w:ascii="宋体" w:hAnsi="宋体" w:eastAsia="宋体" w:cs="宋体"/>
          <w:b/>
          <w:bCs/>
          <w:sz w:val="24"/>
          <w:highlight w:val="none"/>
        </w:rPr>
      </w:pPr>
      <w:r>
        <w:rPr>
          <w:rFonts w:hint="eastAsia" w:ascii="宋体" w:hAnsi="宋体" w:eastAsia="宋体" w:cs="宋体"/>
          <w:b/>
          <w:bCs/>
          <w:color w:val="000000"/>
          <w:sz w:val="32"/>
          <w:szCs w:val="32"/>
          <w:highlight w:val="none"/>
          <w:lang w:eastAsia="zh-CN"/>
        </w:rPr>
        <w:t>十八</w:t>
      </w:r>
      <w:r>
        <w:rPr>
          <w:rFonts w:hint="eastAsia" w:ascii="宋体" w:hAnsi="宋体" w:eastAsia="宋体" w:cs="宋体"/>
          <w:b/>
          <w:bCs/>
          <w:color w:val="000000"/>
          <w:sz w:val="32"/>
          <w:szCs w:val="32"/>
          <w:highlight w:val="none"/>
        </w:rPr>
        <w:t>、盐城市政府采购事前信用承诺书</w:t>
      </w:r>
    </w:p>
    <w:p w14:paraId="12DBF935">
      <w:pPr>
        <w:widowControl/>
        <w:spacing w:line="499" w:lineRule="atLeast"/>
        <w:ind w:firstLine="640"/>
        <w:jc w:val="left"/>
        <w:rPr>
          <w:rFonts w:ascii="宋体" w:hAnsi="宋体" w:eastAsia="宋体" w:cs="宋体"/>
          <w:sz w:val="24"/>
          <w:highlight w:val="none"/>
        </w:rPr>
      </w:pPr>
      <w:r>
        <w:rPr>
          <w:rFonts w:hint="eastAsia" w:ascii="宋体" w:hAnsi="宋体" w:eastAsia="宋体" w:cs="宋体"/>
          <w:color w:val="000000"/>
          <w:sz w:val="32"/>
          <w:szCs w:val="32"/>
          <w:highlight w:val="none"/>
        </w:rPr>
        <w:t> </w:t>
      </w:r>
    </w:p>
    <w:p w14:paraId="518FF601">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为营造我市公开、公平、公正、诚实守信的政府采购交易环境，树立诚信守法的投标人形象，本人代表本单位作出以下承诺：</w:t>
      </w:r>
    </w:p>
    <w:p w14:paraId="41DD4ED3">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虚假成分</w:t>
      </w:r>
      <w:r>
        <w:rPr>
          <w:rFonts w:hint="eastAsia" w:ascii="宋体" w:hAnsi="宋体" w:eastAsia="宋体" w:cs="宋体"/>
          <w:color w:val="000000"/>
          <w:sz w:val="24"/>
          <w:highlight w:val="none"/>
        </w:rPr>
        <w:t>，并对所提供资料的真实性负责；</w:t>
      </w:r>
    </w:p>
    <w:p w14:paraId="2646A310">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5024D90">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p>
    <w:p w14:paraId="46DCE0D7">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（四）严格遵守即时信息公示规定，及时</w:t>
      </w:r>
      <w:r>
        <w:rPr>
          <w:rFonts w:hint="eastAsia" w:ascii="宋体" w:hAnsi="宋体" w:eastAsia="宋体" w:cs="宋体"/>
          <w:color w:val="000000"/>
          <w:sz w:val="24"/>
          <w:highlight w:val="none"/>
          <w:lang w:eastAsia="zh-CN"/>
        </w:rPr>
        <w:t>维护和更新</w:t>
      </w:r>
      <w:r>
        <w:rPr>
          <w:rFonts w:hint="eastAsia" w:ascii="宋体" w:hAnsi="宋体" w:eastAsia="宋体" w:cs="宋体"/>
          <w:color w:val="000000"/>
          <w:sz w:val="24"/>
          <w:highlight w:val="none"/>
        </w:rPr>
        <w:t>盐城市政府采购网中与本单位相关的信息；</w:t>
      </w:r>
    </w:p>
    <w:p w14:paraId="5BFC43D2">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E0062C9">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（六）自觉接受政府、行业组织、社会公众、新闻舆论的监督；</w:t>
      </w:r>
    </w:p>
    <w:p w14:paraId="7B51C052">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7E8A388">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（八）本人已认真阅读了上述承诺，并向本单位员工作了宣传教育。</w:t>
      </w:r>
    </w:p>
    <w:p w14:paraId="413A0F2D">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法定代表人签名：</w:t>
      </w:r>
    </w:p>
    <w:p w14:paraId="3C5185D7">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单位名称（盖章）：</w:t>
      </w:r>
    </w:p>
    <w:p w14:paraId="031CFD2D">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日</w:t>
      </w:r>
    </w:p>
    <w:p w14:paraId="5D8529CE">
      <w:pPr>
        <w:pStyle w:val="14"/>
        <w:spacing w:beforeAutospacing="0" w:afterAutospacing="0"/>
        <w:jc w:val="center"/>
        <w:rPr>
          <w:highlight w:val="none"/>
        </w:rPr>
      </w:pPr>
    </w:p>
    <w:bookmarkEnd w:id="31"/>
    <w:bookmarkEnd w:id="49"/>
    <w:bookmarkEnd w:id="94"/>
    <w:bookmarkEnd w:id="95"/>
    <w:bookmarkEnd w:id="96"/>
    <w:bookmarkEnd w:id="99"/>
    <w:bookmarkEnd w:id="100"/>
    <w:bookmarkEnd w:id="101"/>
    <w:bookmarkEnd w:id="102"/>
    <w:bookmarkEnd w:id="103"/>
    <w:bookmarkEnd w:id="104"/>
    <w:bookmarkEnd w:id="105"/>
    <w:bookmarkEnd w:id="106"/>
    <w:bookmarkEnd w:id="107"/>
    <w:bookmarkEnd w:id="108"/>
    <w:bookmarkEnd w:id="109"/>
    <w:bookmarkEnd w:id="110"/>
    <w:bookmarkEnd w:id="111"/>
    <w:bookmarkEnd w:id="116"/>
    <w:bookmarkEnd w:id="117"/>
    <w:bookmarkEnd w:id="118"/>
    <w:bookmarkEnd w:id="123"/>
    <w:bookmarkEnd w:id="124"/>
    <w:bookmarkEnd w:id="131"/>
    <w:bookmarkEnd w:id="179"/>
    <w:bookmarkEnd w:id="183"/>
    <w:bookmarkEnd w:id="187"/>
    <w:bookmarkEnd w:id="188"/>
    <w:bookmarkEnd w:id="190"/>
    <w:bookmarkEnd w:id="191"/>
    <w:bookmarkEnd w:id="192"/>
    <w:bookmarkEnd w:id="193"/>
    <w:bookmarkEnd w:id="202"/>
    <w:bookmarkEnd w:id="203"/>
    <w:bookmarkEnd w:id="204"/>
    <w:bookmarkEnd w:id="205"/>
    <w:bookmarkEnd w:id="206"/>
    <w:p w14:paraId="3D2A7919">
      <w:pPr>
        <w:rPr>
          <w:highlight w:val="none"/>
        </w:rPr>
      </w:pPr>
    </w:p>
    <w:p w14:paraId="4D3B41D8">
      <w:pPr>
        <w:pStyle w:val="14"/>
        <w:spacing w:beforeAutospacing="0" w:afterAutospacing="0"/>
        <w:jc w:val="cente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质疑函范本</w:t>
      </w:r>
    </w:p>
    <w:p w14:paraId="09EC660E">
      <w:pPr>
        <w:pStyle w:val="14"/>
        <w:spacing w:before="290"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一、质疑供应商基本信息</w:t>
      </w:r>
    </w:p>
    <w:p w14:paraId="1BBEA404">
      <w:pPr>
        <w:pStyle w:val="1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683C323">
      <w:pPr>
        <w:pStyle w:val="14"/>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4FD10787">
      <w:pPr>
        <w:pStyle w:val="1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51269EB1">
      <w:pPr>
        <w:pStyle w:val="14"/>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8A79C72">
      <w:pPr>
        <w:pStyle w:val="1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5B63D208">
      <w:pPr>
        <w:pStyle w:val="1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C1857D9">
      <w:pPr>
        <w:pStyle w:val="1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8C266A2">
      <w:pPr>
        <w:pStyle w:val="14"/>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855B596">
      <w:pPr>
        <w:pStyle w:val="1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25856014">
      <w:pPr>
        <w:pStyle w:val="1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二、质疑项目基本情况</w:t>
      </w:r>
    </w:p>
    <w:p w14:paraId="3DF26DCD">
      <w:pPr>
        <w:pStyle w:val="1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05D9AAAA">
      <w:pPr>
        <w:pStyle w:val="14"/>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6C45C6E4">
      <w:pPr>
        <w:pStyle w:val="1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02EE101">
      <w:pPr>
        <w:pStyle w:val="1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0C3EA93A">
      <w:pPr>
        <w:pStyle w:val="1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14:paraId="454C489F">
      <w:pPr>
        <w:pStyle w:val="1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三、质疑事项具体内容</w:t>
      </w:r>
    </w:p>
    <w:p w14:paraId="5B0C3A09">
      <w:pPr>
        <w:pStyle w:val="1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65F6B2B9">
      <w:pPr>
        <w:pStyle w:val="14"/>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78A4C18D">
      <w:pPr>
        <w:pStyle w:val="1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32398CFA">
      <w:pPr>
        <w:pStyle w:val="1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质疑事项2</w:t>
      </w:r>
    </w:p>
    <w:p w14:paraId="7481B690">
      <w:pPr>
        <w:pStyle w:val="1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w:t>
      </w:r>
    </w:p>
    <w:p w14:paraId="4BFC85F6">
      <w:pPr>
        <w:pStyle w:val="1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四、与质疑事项相关的质疑请求</w:t>
      </w:r>
    </w:p>
    <w:p w14:paraId="4142A576">
      <w:pPr>
        <w:pStyle w:val="1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0E62018D">
      <w:pPr>
        <w:pStyle w:val="14"/>
        <w:spacing w:beforeAutospacing="0" w:afterAutospacing="0"/>
        <w:jc w:val="both"/>
        <w:rPr>
          <w:rFonts w:ascii="宋体" w:hAnsi="宋体" w:eastAsia="宋体" w:cs="宋体"/>
          <w:highlight w:val="none"/>
        </w:rPr>
      </w:pPr>
      <w:r>
        <w:rPr>
          <w:rFonts w:hint="eastAsia" w:ascii="宋体" w:hAnsi="宋体" w:eastAsia="宋体" w:cs="宋体"/>
          <w:color w:val="000000"/>
          <w:highlight w:val="none"/>
        </w:rPr>
        <w:t xml:space="preserve">签字(签章)：                 公章：               日期：    </w:t>
      </w:r>
    </w:p>
    <w:p w14:paraId="2BD1128B">
      <w:pPr>
        <w:pStyle w:val="14"/>
        <w:spacing w:beforeAutospacing="0" w:afterAutospacing="0" w:line="0" w:lineRule="atLeast"/>
        <w:jc w:val="both"/>
        <w:rPr>
          <w:rFonts w:ascii="宋体" w:hAnsi="宋体" w:eastAsia="宋体" w:cs="宋体"/>
          <w:highlight w:val="none"/>
        </w:rPr>
      </w:pPr>
      <w:r>
        <w:rPr>
          <w:rFonts w:hint="eastAsia" w:ascii="宋体" w:hAnsi="宋体" w:eastAsia="宋体" w:cs="宋体"/>
          <w:b/>
          <w:color w:val="000000"/>
          <w:highlight w:val="none"/>
        </w:rPr>
        <w:t>质疑函制作说明：</w:t>
      </w:r>
    </w:p>
    <w:p w14:paraId="366B4F23">
      <w:pPr>
        <w:pStyle w:val="14"/>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1.供应商提出质疑时，应提交质疑函和必要的证明材料。</w:t>
      </w:r>
    </w:p>
    <w:p w14:paraId="4477C1A6">
      <w:pPr>
        <w:pStyle w:val="14"/>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B40952D">
      <w:pPr>
        <w:pStyle w:val="14"/>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3.质疑供应商若对项目的某一分包进行质疑，质疑函中应列明具体分包号。</w:t>
      </w:r>
    </w:p>
    <w:p w14:paraId="61B2EC12">
      <w:pPr>
        <w:pStyle w:val="14"/>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4.质疑函的质疑事项应具体、明确，并有必要的事实依据和法律依据。</w:t>
      </w:r>
    </w:p>
    <w:p w14:paraId="00DA2770">
      <w:pPr>
        <w:pStyle w:val="14"/>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5.质疑函的质疑请求应与质疑事项相关。</w:t>
      </w:r>
    </w:p>
    <w:p w14:paraId="7B96CA49">
      <w:pPr>
        <w:pStyle w:val="14"/>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p w14:paraId="2A8F5BDA">
      <w:pPr>
        <w:pStyle w:val="14"/>
        <w:spacing w:beforeAutospacing="0" w:afterAutospacing="0"/>
        <w:ind w:firstLine="420"/>
        <w:jc w:val="both"/>
        <w:rPr>
          <w:rFonts w:ascii="宋体" w:hAnsi="宋体" w:eastAsia="宋体" w:cs="宋体"/>
          <w:highlight w:val="none"/>
        </w:rPr>
      </w:pPr>
      <w:r>
        <w:rPr>
          <w:rFonts w:hint="eastAsia" w:ascii="宋体" w:hAnsi="宋体" w:eastAsia="宋体" w:cs="宋体"/>
          <w:highlight w:val="none"/>
        </w:rPr>
        <w:t> </w:t>
      </w:r>
    </w:p>
    <w:p w14:paraId="2939C84F">
      <w:pPr>
        <w:rPr>
          <w:highlight w:val="none"/>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1CD328">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148B7E">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6148B7E">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D51150"/>
    <w:multiLevelType w:val="singleLevel"/>
    <w:tmpl w:val="AAD51150"/>
    <w:lvl w:ilvl="0" w:tentative="0">
      <w:start w:val="4"/>
      <w:numFmt w:val="chineseCounting"/>
      <w:lvlText w:val="(%1)"/>
      <w:lvlJc w:val="left"/>
      <w:pPr>
        <w:tabs>
          <w:tab w:val="left" w:pos="312"/>
        </w:tabs>
      </w:pPr>
      <w:rPr>
        <w:rFonts w:hint="eastAsia"/>
      </w:rPr>
    </w:lvl>
  </w:abstractNum>
  <w:abstractNum w:abstractNumId="1">
    <w:nsid w:val="C6EBBEA5"/>
    <w:multiLevelType w:val="singleLevel"/>
    <w:tmpl w:val="C6EBBEA5"/>
    <w:lvl w:ilvl="0" w:tentative="0">
      <w:start w:val="1"/>
      <w:numFmt w:val="decimal"/>
      <w:suff w:val="space"/>
      <w:lvlText w:val="%1."/>
      <w:lvlJc w:val="left"/>
    </w:lvl>
  </w:abstractNum>
  <w:abstractNum w:abstractNumId="2">
    <w:nsid w:val="D5EC5559"/>
    <w:multiLevelType w:val="singleLevel"/>
    <w:tmpl w:val="D5EC5559"/>
    <w:lvl w:ilvl="0" w:tentative="0">
      <w:start w:val="11"/>
      <w:numFmt w:val="decimal"/>
      <w:suff w:val="nothing"/>
      <w:lvlText w:val="%1、"/>
      <w:lvlJc w:val="left"/>
    </w:lvl>
  </w:abstractNum>
  <w:abstractNum w:abstractNumId="3">
    <w:nsid w:val="47F86C45"/>
    <w:multiLevelType w:val="singleLevel"/>
    <w:tmpl w:val="47F86C45"/>
    <w:lvl w:ilvl="0" w:tentative="0">
      <w:start w:val="4"/>
      <w:numFmt w:val="chineseCounting"/>
      <w:suff w:val="nothing"/>
      <w:lvlText w:val="(%1）"/>
      <w:lvlJc w:val="left"/>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75369"/>
    <w:rsid w:val="00077137"/>
    <w:rsid w:val="00093DD2"/>
    <w:rsid w:val="00100CC0"/>
    <w:rsid w:val="00131CB1"/>
    <w:rsid w:val="00172A27"/>
    <w:rsid w:val="00177F0B"/>
    <w:rsid w:val="001A3225"/>
    <w:rsid w:val="001F4115"/>
    <w:rsid w:val="00215AA4"/>
    <w:rsid w:val="00251125"/>
    <w:rsid w:val="002E61F3"/>
    <w:rsid w:val="002F12F8"/>
    <w:rsid w:val="003C1A89"/>
    <w:rsid w:val="003C6894"/>
    <w:rsid w:val="0043276E"/>
    <w:rsid w:val="004529E6"/>
    <w:rsid w:val="00455E51"/>
    <w:rsid w:val="004670D5"/>
    <w:rsid w:val="00474047"/>
    <w:rsid w:val="00491F6E"/>
    <w:rsid w:val="004D3110"/>
    <w:rsid w:val="00502ACB"/>
    <w:rsid w:val="00520AC5"/>
    <w:rsid w:val="00552DFB"/>
    <w:rsid w:val="005E57E9"/>
    <w:rsid w:val="006932C0"/>
    <w:rsid w:val="006B6F15"/>
    <w:rsid w:val="007871B9"/>
    <w:rsid w:val="007A220C"/>
    <w:rsid w:val="007A7B98"/>
    <w:rsid w:val="007B1CF4"/>
    <w:rsid w:val="00817A96"/>
    <w:rsid w:val="0088127E"/>
    <w:rsid w:val="008B090D"/>
    <w:rsid w:val="008E4636"/>
    <w:rsid w:val="00935693"/>
    <w:rsid w:val="00A4304F"/>
    <w:rsid w:val="00A62079"/>
    <w:rsid w:val="00A70028"/>
    <w:rsid w:val="00A80AB0"/>
    <w:rsid w:val="00AA2A8E"/>
    <w:rsid w:val="00B07FD4"/>
    <w:rsid w:val="00B454C4"/>
    <w:rsid w:val="00B91B8C"/>
    <w:rsid w:val="00BE692E"/>
    <w:rsid w:val="00BE787D"/>
    <w:rsid w:val="00C30C78"/>
    <w:rsid w:val="00C36D58"/>
    <w:rsid w:val="00C83D22"/>
    <w:rsid w:val="00C86C58"/>
    <w:rsid w:val="00CB578B"/>
    <w:rsid w:val="00D1282F"/>
    <w:rsid w:val="00D550E3"/>
    <w:rsid w:val="00D63F4B"/>
    <w:rsid w:val="00D93FCD"/>
    <w:rsid w:val="00E57898"/>
    <w:rsid w:val="00E6087B"/>
    <w:rsid w:val="00F130C8"/>
    <w:rsid w:val="00F264FD"/>
    <w:rsid w:val="00F33192"/>
    <w:rsid w:val="00F50207"/>
    <w:rsid w:val="00F8669E"/>
    <w:rsid w:val="00F957B2"/>
    <w:rsid w:val="00FC6132"/>
    <w:rsid w:val="00FE3C91"/>
    <w:rsid w:val="0132020D"/>
    <w:rsid w:val="014036E0"/>
    <w:rsid w:val="01416DF2"/>
    <w:rsid w:val="015C3D17"/>
    <w:rsid w:val="017F2F64"/>
    <w:rsid w:val="01C209CB"/>
    <w:rsid w:val="02357688"/>
    <w:rsid w:val="02851591"/>
    <w:rsid w:val="02BD5381"/>
    <w:rsid w:val="02D505AD"/>
    <w:rsid w:val="03365B5E"/>
    <w:rsid w:val="034E4AD1"/>
    <w:rsid w:val="037E0789"/>
    <w:rsid w:val="03913FFC"/>
    <w:rsid w:val="04CF1FA6"/>
    <w:rsid w:val="05495C2E"/>
    <w:rsid w:val="056E5657"/>
    <w:rsid w:val="05AD05DE"/>
    <w:rsid w:val="05BD3D79"/>
    <w:rsid w:val="05D1541D"/>
    <w:rsid w:val="0621639E"/>
    <w:rsid w:val="062C42CE"/>
    <w:rsid w:val="06764670"/>
    <w:rsid w:val="06867FD2"/>
    <w:rsid w:val="068A6E34"/>
    <w:rsid w:val="06B12B65"/>
    <w:rsid w:val="06BD3726"/>
    <w:rsid w:val="07887E6F"/>
    <w:rsid w:val="07994E3B"/>
    <w:rsid w:val="07A02A3F"/>
    <w:rsid w:val="07A40F48"/>
    <w:rsid w:val="07D847CB"/>
    <w:rsid w:val="07F651C7"/>
    <w:rsid w:val="080A468F"/>
    <w:rsid w:val="082618D1"/>
    <w:rsid w:val="0854758E"/>
    <w:rsid w:val="08992D34"/>
    <w:rsid w:val="08C86899"/>
    <w:rsid w:val="09132265"/>
    <w:rsid w:val="0979711C"/>
    <w:rsid w:val="09B47E50"/>
    <w:rsid w:val="09D92A42"/>
    <w:rsid w:val="09F347CC"/>
    <w:rsid w:val="09FE79EC"/>
    <w:rsid w:val="0AB319EF"/>
    <w:rsid w:val="0ABC363A"/>
    <w:rsid w:val="0AD8294B"/>
    <w:rsid w:val="0B4B3B00"/>
    <w:rsid w:val="0B580919"/>
    <w:rsid w:val="0B8A23C1"/>
    <w:rsid w:val="0BAE3813"/>
    <w:rsid w:val="0BFF003E"/>
    <w:rsid w:val="0C9413AC"/>
    <w:rsid w:val="0CFF0F1B"/>
    <w:rsid w:val="0D4D2FC1"/>
    <w:rsid w:val="0E0362D5"/>
    <w:rsid w:val="0E6131D2"/>
    <w:rsid w:val="0E966A8C"/>
    <w:rsid w:val="0EB36461"/>
    <w:rsid w:val="0EE61CD2"/>
    <w:rsid w:val="0F0A004B"/>
    <w:rsid w:val="0F2040CC"/>
    <w:rsid w:val="0F655282"/>
    <w:rsid w:val="0F6D24BC"/>
    <w:rsid w:val="0F7D537E"/>
    <w:rsid w:val="0FBC4A1F"/>
    <w:rsid w:val="0FE97C61"/>
    <w:rsid w:val="10007707"/>
    <w:rsid w:val="10B2533E"/>
    <w:rsid w:val="11072A94"/>
    <w:rsid w:val="11AB711C"/>
    <w:rsid w:val="11EB7CC0"/>
    <w:rsid w:val="12A21019"/>
    <w:rsid w:val="12D9220E"/>
    <w:rsid w:val="12F015A0"/>
    <w:rsid w:val="132711CC"/>
    <w:rsid w:val="13D157F4"/>
    <w:rsid w:val="14050392"/>
    <w:rsid w:val="140972F4"/>
    <w:rsid w:val="141E678C"/>
    <w:rsid w:val="143E4A1F"/>
    <w:rsid w:val="14420F40"/>
    <w:rsid w:val="14477BA7"/>
    <w:rsid w:val="14AF5BF0"/>
    <w:rsid w:val="157923E7"/>
    <w:rsid w:val="15D42B6C"/>
    <w:rsid w:val="162C6AF9"/>
    <w:rsid w:val="169263C8"/>
    <w:rsid w:val="16A61788"/>
    <w:rsid w:val="16AF4856"/>
    <w:rsid w:val="16FC471D"/>
    <w:rsid w:val="170045BA"/>
    <w:rsid w:val="174D6D27"/>
    <w:rsid w:val="174D7871"/>
    <w:rsid w:val="17666D47"/>
    <w:rsid w:val="176F0FD8"/>
    <w:rsid w:val="17732C32"/>
    <w:rsid w:val="181D744A"/>
    <w:rsid w:val="18BC4109"/>
    <w:rsid w:val="18D23988"/>
    <w:rsid w:val="18D7110B"/>
    <w:rsid w:val="1905789C"/>
    <w:rsid w:val="193260E4"/>
    <w:rsid w:val="196873AC"/>
    <w:rsid w:val="19835197"/>
    <w:rsid w:val="19A11C2E"/>
    <w:rsid w:val="1A1C3150"/>
    <w:rsid w:val="1A4F2C83"/>
    <w:rsid w:val="1AA839EE"/>
    <w:rsid w:val="1AD2708F"/>
    <w:rsid w:val="1AD75285"/>
    <w:rsid w:val="1AE6196C"/>
    <w:rsid w:val="1B193AF0"/>
    <w:rsid w:val="1B5508A0"/>
    <w:rsid w:val="1B5F5046"/>
    <w:rsid w:val="1B9509DF"/>
    <w:rsid w:val="1BA002D8"/>
    <w:rsid w:val="1C493F61"/>
    <w:rsid w:val="1CAC4347"/>
    <w:rsid w:val="1D1C1092"/>
    <w:rsid w:val="1D605A5A"/>
    <w:rsid w:val="1D812873"/>
    <w:rsid w:val="1DE2466D"/>
    <w:rsid w:val="1DFD1285"/>
    <w:rsid w:val="1E4E1D03"/>
    <w:rsid w:val="1EC70509"/>
    <w:rsid w:val="1EE6018D"/>
    <w:rsid w:val="1F4A0271"/>
    <w:rsid w:val="1FC7762D"/>
    <w:rsid w:val="2000702C"/>
    <w:rsid w:val="205C376D"/>
    <w:rsid w:val="20677E3C"/>
    <w:rsid w:val="20733730"/>
    <w:rsid w:val="20836B70"/>
    <w:rsid w:val="209429D0"/>
    <w:rsid w:val="20A83FAF"/>
    <w:rsid w:val="20CE42A1"/>
    <w:rsid w:val="215025DE"/>
    <w:rsid w:val="21742B27"/>
    <w:rsid w:val="21CC717D"/>
    <w:rsid w:val="22424AA4"/>
    <w:rsid w:val="228C104B"/>
    <w:rsid w:val="22934188"/>
    <w:rsid w:val="22F62B8A"/>
    <w:rsid w:val="23151041"/>
    <w:rsid w:val="23254D08"/>
    <w:rsid w:val="23534E2B"/>
    <w:rsid w:val="242C02D7"/>
    <w:rsid w:val="244E2598"/>
    <w:rsid w:val="24533DC2"/>
    <w:rsid w:val="245A4532"/>
    <w:rsid w:val="24BE643D"/>
    <w:rsid w:val="2532334D"/>
    <w:rsid w:val="26750FF7"/>
    <w:rsid w:val="26EC27FB"/>
    <w:rsid w:val="27194423"/>
    <w:rsid w:val="27206206"/>
    <w:rsid w:val="27290FC5"/>
    <w:rsid w:val="280F2F92"/>
    <w:rsid w:val="284E12B5"/>
    <w:rsid w:val="28BC3D0D"/>
    <w:rsid w:val="28FE41FC"/>
    <w:rsid w:val="29345C52"/>
    <w:rsid w:val="2996274E"/>
    <w:rsid w:val="29981C27"/>
    <w:rsid w:val="29BD7D3C"/>
    <w:rsid w:val="2A4648B7"/>
    <w:rsid w:val="2A923B0C"/>
    <w:rsid w:val="2A9A62D0"/>
    <w:rsid w:val="2AFD27B9"/>
    <w:rsid w:val="2B005440"/>
    <w:rsid w:val="2B99407E"/>
    <w:rsid w:val="2BCA6741"/>
    <w:rsid w:val="2C03574A"/>
    <w:rsid w:val="2C0A4EA8"/>
    <w:rsid w:val="2C7B3B05"/>
    <w:rsid w:val="2CA566E6"/>
    <w:rsid w:val="2CC277F5"/>
    <w:rsid w:val="2CEA709A"/>
    <w:rsid w:val="2D39592C"/>
    <w:rsid w:val="2E0C4DEE"/>
    <w:rsid w:val="2E436731"/>
    <w:rsid w:val="2E5E7AF7"/>
    <w:rsid w:val="2E9F2106"/>
    <w:rsid w:val="2EE73822"/>
    <w:rsid w:val="2FA80D19"/>
    <w:rsid w:val="2FAD4FD9"/>
    <w:rsid w:val="2FB346FB"/>
    <w:rsid w:val="2FFA5778"/>
    <w:rsid w:val="30495C84"/>
    <w:rsid w:val="30650005"/>
    <w:rsid w:val="310333AD"/>
    <w:rsid w:val="3126266B"/>
    <w:rsid w:val="31522189"/>
    <w:rsid w:val="318E0F10"/>
    <w:rsid w:val="31DB0550"/>
    <w:rsid w:val="32531113"/>
    <w:rsid w:val="329E6CD8"/>
    <w:rsid w:val="32AE0B6A"/>
    <w:rsid w:val="33440753"/>
    <w:rsid w:val="334B4AB3"/>
    <w:rsid w:val="33773E42"/>
    <w:rsid w:val="34367069"/>
    <w:rsid w:val="34E14EA2"/>
    <w:rsid w:val="34E346A0"/>
    <w:rsid w:val="356F0C5B"/>
    <w:rsid w:val="359B1151"/>
    <w:rsid w:val="35AD49A2"/>
    <w:rsid w:val="35BC534C"/>
    <w:rsid w:val="36172BC3"/>
    <w:rsid w:val="3656237D"/>
    <w:rsid w:val="36721EAF"/>
    <w:rsid w:val="367E0472"/>
    <w:rsid w:val="36CC7C95"/>
    <w:rsid w:val="36E076F0"/>
    <w:rsid w:val="36EB650A"/>
    <w:rsid w:val="378133A9"/>
    <w:rsid w:val="383A233E"/>
    <w:rsid w:val="39101F1B"/>
    <w:rsid w:val="392D7EB3"/>
    <w:rsid w:val="39720FC7"/>
    <w:rsid w:val="39987E7E"/>
    <w:rsid w:val="39A84137"/>
    <w:rsid w:val="39CD52E9"/>
    <w:rsid w:val="39DE5424"/>
    <w:rsid w:val="3A1C0AAF"/>
    <w:rsid w:val="3A64388F"/>
    <w:rsid w:val="3A992100"/>
    <w:rsid w:val="3AB02FA5"/>
    <w:rsid w:val="3ADB2718"/>
    <w:rsid w:val="3B0B043D"/>
    <w:rsid w:val="3B702E61"/>
    <w:rsid w:val="3B81139E"/>
    <w:rsid w:val="3B9710EF"/>
    <w:rsid w:val="3BDF2457"/>
    <w:rsid w:val="3BDF7FE6"/>
    <w:rsid w:val="3BE83374"/>
    <w:rsid w:val="3C2B7411"/>
    <w:rsid w:val="3C495460"/>
    <w:rsid w:val="3CC36DCD"/>
    <w:rsid w:val="3D23372C"/>
    <w:rsid w:val="3D2823FA"/>
    <w:rsid w:val="3D581DFE"/>
    <w:rsid w:val="3D6A4AAA"/>
    <w:rsid w:val="3DF80C94"/>
    <w:rsid w:val="3DFD4754"/>
    <w:rsid w:val="3E064F5A"/>
    <w:rsid w:val="3E161B6B"/>
    <w:rsid w:val="3E1C18CC"/>
    <w:rsid w:val="3E33309F"/>
    <w:rsid w:val="3E496B6B"/>
    <w:rsid w:val="3E7F5998"/>
    <w:rsid w:val="3E922DAD"/>
    <w:rsid w:val="3F0056DB"/>
    <w:rsid w:val="3F0156C1"/>
    <w:rsid w:val="3F1A3023"/>
    <w:rsid w:val="3F243A9D"/>
    <w:rsid w:val="3FC26720"/>
    <w:rsid w:val="400D4052"/>
    <w:rsid w:val="40260F22"/>
    <w:rsid w:val="402B33C8"/>
    <w:rsid w:val="40350295"/>
    <w:rsid w:val="406E1D8D"/>
    <w:rsid w:val="41287D3C"/>
    <w:rsid w:val="42053C57"/>
    <w:rsid w:val="42214BD9"/>
    <w:rsid w:val="42324DFA"/>
    <w:rsid w:val="42AF59D8"/>
    <w:rsid w:val="431353F3"/>
    <w:rsid w:val="43455446"/>
    <w:rsid w:val="4450382F"/>
    <w:rsid w:val="4487417A"/>
    <w:rsid w:val="44DA072F"/>
    <w:rsid w:val="44F3240C"/>
    <w:rsid w:val="454D0F8E"/>
    <w:rsid w:val="45FC0A54"/>
    <w:rsid w:val="46015F4D"/>
    <w:rsid w:val="461D469A"/>
    <w:rsid w:val="466976E6"/>
    <w:rsid w:val="46D32596"/>
    <w:rsid w:val="46EA0CE7"/>
    <w:rsid w:val="470D4256"/>
    <w:rsid w:val="472208AE"/>
    <w:rsid w:val="474828AB"/>
    <w:rsid w:val="47704C41"/>
    <w:rsid w:val="47755C7D"/>
    <w:rsid w:val="477F6C5D"/>
    <w:rsid w:val="47B925F3"/>
    <w:rsid w:val="48771F96"/>
    <w:rsid w:val="48910AEC"/>
    <w:rsid w:val="489D725F"/>
    <w:rsid w:val="48B3170D"/>
    <w:rsid w:val="493C7DE9"/>
    <w:rsid w:val="49435650"/>
    <w:rsid w:val="49D62B33"/>
    <w:rsid w:val="4A1E13B4"/>
    <w:rsid w:val="4A2C49B0"/>
    <w:rsid w:val="4A7D1B0F"/>
    <w:rsid w:val="4AAC50D1"/>
    <w:rsid w:val="4AF64A04"/>
    <w:rsid w:val="4AFA44F5"/>
    <w:rsid w:val="4B0C37B9"/>
    <w:rsid w:val="4B944949"/>
    <w:rsid w:val="4BC33B49"/>
    <w:rsid w:val="4BD12EAB"/>
    <w:rsid w:val="4C5A2B74"/>
    <w:rsid w:val="4D2D20D9"/>
    <w:rsid w:val="4D317F76"/>
    <w:rsid w:val="4D3C69F8"/>
    <w:rsid w:val="4D784E5B"/>
    <w:rsid w:val="4DA074F7"/>
    <w:rsid w:val="4DA33F07"/>
    <w:rsid w:val="4DDE52C0"/>
    <w:rsid w:val="4E33217F"/>
    <w:rsid w:val="4E6F4101"/>
    <w:rsid w:val="4EDD03B5"/>
    <w:rsid w:val="4F337FD5"/>
    <w:rsid w:val="4F526BF1"/>
    <w:rsid w:val="4FC2427A"/>
    <w:rsid w:val="50A0169A"/>
    <w:rsid w:val="50A1397F"/>
    <w:rsid w:val="51C75DFE"/>
    <w:rsid w:val="52741FCB"/>
    <w:rsid w:val="52CA1464"/>
    <w:rsid w:val="52D06B10"/>
    <w:rsid w:val="52D52291"/>
    <w:rsid w:val="53112879"/>
    <w:rsid w:val="533D58C6"/>
    <w:rsid w:val="53536515"/>
    <w:rsid w:val="536B21BA"/>
    <w:rsid w:val="53A862CC"/>
    <w:rsid w:val="542645AC"/>
    <w:rsid w:val="542A0FDA"/>
    <w:rsid w:val="546C11F4"/>
    <w:rsid w:val="546E1AAF"/>
    <w:rsid w:val="54857525"/>
    <w:rsid w:val="54ED53D0"/>
    <w:rsid w:val="55091CCC"/>
    <w:rsid w:val="55C67DF5"/>
    <w:rsid w:val="55FA184D"/>
    <w:rsid w:val="56213834"/>
    <w:rsid w:val="56307253"/>
    <w:rsid w:val="56356534"/>
    <w:rsid w:val="56453199"/>
    <w:rsid w:val="56791F36"/>
    <w:rsid w:val="57B310AD"/>
    <w:rsid w:val="582F6DAB"/>
    <w:rsid w:val="58366D88"/>
    <w:rsid w:val="585427CF"/>
    <w:rsid w:val="588910E4"/>
    <w:rsid w:val="58977827"/>
    <w:rsid w:val="58AD45AF"/>
    <w:rsid w:val="58D4718C"/>
    <w:rsid w:val="59274DA4"/>
    <w:rsid w:val="597131E7"/>
    <w:rsid w:val="599211F9"/>
    <w:rsid w:val="59A82CA5"/>
    <w:rsid w:val="5ABD109B"/>
    <w:rsid w:val="5AD514E8"/>
    <w:rsid w:val="5AD536B4"/>
    <w:rsid w:val="5AEA4CCC"/>
    <w:rsid w:val="5B031B11"/>
    <w:rsid w:val="5B2C4517"/>
    <w:rsid w:val="5B96574B"/>
    <w:rsid w:val="5BBC75A4"/>
    <w:rsid w:val="5C2A4141"/>
    <w:rsid w:val="5C5A652B"/>
    <w:rsid w:val="5CE305DA"/>
    <w:rsid w:val="5D3E5EBD"/>
    <w:rsid w:val="5DDD75C3"/>
    <w:rsid w:val="5DE138D8"/>
    <w:rsid w:val="5E1921ED"/>
    <w:rsid w:val="5EF07A1A"/>
    <w:rsid w:val="5F7D5E8E"/>
    <w:rsid w:val="5F7F522A"/>
    <w:rsid w:val="5FD72BFF"/>
    <w:rsid w:val="601337BB"/>
    <w:rsid w:val="60762DC3"/>
    <w:rsid w:val="60D51B2B"/>
    <w:rsid w:val="617F2D1C"/>
    <w:rsid w:val="62312A9A"/>
    <w:rsid w:val="626C748B"/>
    <w:rsid w:val="6283706E"/>
    <w:rsid w:val="62A87E16"/>
    <w:rsid w:val="62C43294"/>
    <w:rsid w:val="62CA561A"/>
    <w:rsid w:val="6313315F"/>
    <w:rsid w:val="637172BE"/>
    <w:rsid w:val="6385081E"/>
    <w:rsid w:val="63CD6C1F"/>
    <w:rsid w:val="63DA1265"/>
    <w:rsid w:val="64A56430"/>
    <w:rsid w:val="65B53222"/>
    <w:rsid w:val="65BB2793"/>
    <w:rsid w:val="65DD5A8E"/>
    <w:rsid w:val="667027CF"/>
    <w:rsid w:val="6688694C"/>
    <w:rsid w:val="66B22301"/>
    <w:rsid w:val="66D41C46"/>
    <w:rsid w:val="670D4A21"/>
    <w:rsid w:val="67B6759E"/>
    <w:rsid w:val="68245589"/>
    <w:rsid w:val="68777DD2"/>
    <w:rsid w:val="68CF442F"/>
    <w:rsid w:val="69605A13"/>
    <w:rsid w:val="69983CE0"/>
    <w:rsid w:val="69E22E74"/>
    <w:rsid w:val="6A096E77"/>
    <w:rsid w:val="6A1C1694"/>
    <w:rsid w:val="6A751DB0"/>
    <w:rsid w:val="6AB95533"/>
    <w:rsid w:val="6B037E0E"/>
    <w:rsid w:val="6BDD2B0A"/>
    <w:rsid w:val="6BDE41BB"/>
    <w:rsid w:val="6BF40AC7"/>
    <w:rsid w:val="6C5462A8"/>
    <w:rsid w:val="6C7041BF"/>
    <w:rsid w:val="6C917FD7"/>
    <w:rsid w:val="6DEE183F"/>
    <w:rsid w:val="6F3574FF"/>
    <w:rsid w:val="6F6F7A6D"/>
    <w:rsid w:val="6F711F0A"/>
    <w:rsid w:val="6FBB0862"/>
    <w:rsid w:val="6FDC53C2"/>
    <w:rsid w:val="70106954"/>
    <w:rsid w:val="717B59AD"/>
    <w:rsid w:val="71BB7860"/>
    <w:rsid w:val="71C1726B"/>
    <w:rsid w:val="71D70B0A"/>
    <w:rsid w:val="72440385"/>
    <w:rsid w:val="72CC236B"/>
    <w:rsid w:val="73761484"/>
    <w:rsid w:val="743F3C99"/>
    <w:rsid w:val="74835482"/>
    <w:rsid w:val="74877DC7"/>
    <w:rsid w:val="74DB35C2"/>
    <w:rsid w:val="75890D8F"/>
    <w:rsid w:val="758A6534"/>
    <w:rsid w:val="75B043EA"/>
    <w:rsid w:val="769E54F7"/>
    <w:rsid w:val="76D90F68"/>
    <w:rsid w:val="77280C7C"/>
    <w:rsid w:val="77660E93"/>
    <w:rsid w:val="77A613DD"/>
    <w:rsid w:val="77BB58EB"/>
    <w:rsid w:val="77C1540B"/>
    <w:rsid w:val="77D810B9"/>
    <w:rsid w:val="783E7320"/>
    <w:rsid w:val="783F6A4F"/>
    <w:rsid w:val="78C43643"/>
    <w:rsid w:val="78CB19C0"/>
    <w:rsid w:val="78CD20F8"/>
    <w:rsid w:val="78F35EFE"/>
    <w:rsid w:val="78FF5669"/>
    <w:rsid w:val="793275BA"/>
    <w:rsid w:val="795D32AB"/>
    <w:rsid w:val="79A724F1"/>
    <w:rsid w:val="79B53B59"/>
    <w:rsid w:val="79C1605A"/>
    <w:rsid w:val="7A4B7878"/>
    <w:rsid w:val="7A6D100D"/>
    <w:rsid w:val="7B4231CA"/>
    <w:rsid w:val="7B946370"/>
    <w:rsid w:val="7BDF36C5"/>
    <w:rsid w:val="7C3F1529"/>
    <w:rsid w:val="7C5F16F8"/>
    <w:rsid w:val="7C6929D9"/>
    <w:rsid w:val="7C9D3E10"/>
    <w:rsid w:val="7CAF2E48"/>
    <w:rsid w:val="7CB122FF"/>
    <w:rsid w:val="7D9B7317"/>
    <w:rsid w:val="7DA05FAF"/>
    <w:rsid w:val="7DBA67DE"/>
    <w:rsid w:val="7DF53ACA"/>
    <w:rsid w:val="7DF7159A"/>
    <w:rsid w:val="7E407F60"/>
    <w:rsid w:val="7E5555EA"/>
    <w:rsid w:val="7E7C50A3"/>
    <w:rsid w:val="7F0E4C61"/>
    <w:rsid w:val="7F7F4C0B"/>
    <w:rsid w:val="7F8617F0"/>
    <w:rsid w:val="7F9D00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4"/>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jc w:val="center"/>
      <w:outlineLvl w:val="0"/>
    </w:pPr>
    <w:rPr>
      <w:rFonts w:ascii="楷体_GB2312" w:eastAsia="楷体_GB2312"/>
      <w:sz w:val="28"/>
      <w:szCs w:val="28"/>
    </w:rPr>
  </w:style>
  <w:style w:type="paragraph" w:styleId="3">
    <w:name w:val="heading 2"/>
    <w:basedOn w:val="1"/>
    <w:next w:val="4"/>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character" w:default="1" w:styleId="18">
    <w:name w:val="Default Paragraph Font"/>
    <w:autoRedefine/>
    <w:semiHidden/>
    <w:unhideWhenUsed/>
    <w:qFormat/>
    <w:uiPriority w:val="1"/>
  </w:style>
  <w:style w:type="table" w:default="1" w:styleId="16">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99"/>
    <w:pPr>
      <w:ind w:firstLine="420"/>
    </w:pPr>
    <w:rPr>
      <w:kern w:val="0"/>
      <w:szCs w:val="20"/>
    </w:rPr>
  </w:style>
  <w:style w:type="paragraph" w:styleId="6">
    <w:name w:val="annotation text"/>
    <w:basedOn w:val="1"/>
    <w:autoRedefine/>
    <w:qFormat/>
    <w:uiPriority w:val="0"/>
    <w:pPr>
      <w:jc w:val="left"/>
    </w:pPr>
  </w:style>
  <w:style w:type="paragraph" w:styleId="7">
    <w:name w:val="Body Text Indent"/>
    <w:basedOn w:val="1"/>
    <w:next w:val="8"/>
    <w:qFormat/>
    <w:uiPriority w:val="99"/>
    <w:pPr>
      <w:ind w:firstLine="645"/>
    </w:pPr>
    <w:rPr>
      <w:rFonts w:ascii="楷体_GB2312" w:eastAsia="楷体_GB2312"/>
      <w:sz w:val="32"/>
      <w:szCs w:val="32"/>
    </w:rPr>
  </w:style>
  <w:style w:type="paragraph" w:styleId="8">
    <w:name w:val="envelope return"/>
    <w:basedOn w:val="1"/>
    <w:qFormat/>
    <w:uiPriority w:val="0"/>
    <w:pPr>
      <w:snapToGrid w:val="0"/>
    </w:pPr>
    <w:rPr>
      <w:rFonts w:ascii="Arial" w:hAnsi="Arial"/>
    </w:rPr>
  </w:style>
  <w:style w:type="paragraph" w:styleId="9">
    <w:name w:val="Plain Text"/>
    <w:basedOn w:val="1"/>
    <w:qFormat/>
    <w:uiPriority w:val="99"/>
    <w:rPr>
      <w:rFonts w:ascii="宋体" w:hAnsi="Courier New" w:cs="Courier New"/>
    </w:rPr>
  </w:style>
  <w:style w:type="paragraph" w:styleId="10">
    <w:name w:val="Body Text Indent 2"/>
    <w:basedOn w:val="1"/>
    <w:qFormat/>
    <w:uiPriority w:val="0"/>
    <w:pPr>
      <w:spacing w:line="400" w:lineRule="exact"/>
      <w:ind w:left="-1" w:firstLine="480"/>
    </w:pPr>
    <w:rPr>
      <w:rFonts w:ascii="楷体_GB2312" w:eastAsia="楷体_GB2312"/>
      <w:sz w:val="24"/>
    </w:rPr>
  </w:style>
  <w:style w:type="paragraph" w:styleId="11">
    <w:name w:val="footer"/>
    <w:basedOn w:val="1"/>
    <w:link w:val="28"/>
    <w:autoRedefine/>
    <w:qFormat/>
    <w:uiPriority w:val="0"/>
    <w:pPr>
      <w:tabs>
        <w:tab w:val="center" w:pos="4153"/>
        <w:tab w:val="right" w:pos="8306"/>
      </w:tabs>
      <w:snapToGrid w:val="0"/>
      <w:jc w:val="left"/>
    </w:pPr>
    <w:rPr>
      <w:sz w:val="18"/>
      <w:szCs w:val="18"/>
    </w:rPr>
  </w:style>
  <w:style w:type="paragraph" w:styleId="12">
    <w:name w:val="header"/>
    <w:basedOn w:val="1"/>
    <w:link w:val="27"/>
    <w:autoRedefine/>
    <w:qFormat/>
    <w:uiPriority w:val="0"/>
    <w:pPr>
      <w:pBdr>
        <w:bottom w:val="single" w:color="auto" w:sz="6" w:space="1"/>
      </w:pBdr>
      <w:tabs>
        <w:tab w:val="center" w:pos="4153"/>
        <w:tab w:val="right" w:pos="8306"/>
      </w:tabs>
      <w:snapToGrid w:val="0"/>
      <w:jc w:val="center"/>
    </w:pPr>
    <w:rPr>
      <w:sz w:val="18"/>
      <w:szCs w:val="18"/>
    </w:rPr>
  </w:style>
  <w:style w:type="paragraph" w:styleId="13">
    <w:name w:val="toc 6"/>
    <w:basedOn w:val="1"/>
    <w:next w:val="1"/>
    <w:unhideWhenUsed/>
    <w:qFormat/>
    <w:uiPriority w:val="39"/>
    <w:pPr>
      <w:spacing w:after="57"/>
      <w:ind w:left="1417"/>
    </w:pPr>
  </w:style>
  <w:style w:type="paragraph" w:styleId="14">
    <w:name w:val="Normal (Web)"/>
    <w:basedOn w:val="1"/>
    <w:autoRedefine/>
    <w:qFormat/>
    <w:uiPriority w:val="0"/>
    <w:pPr>
      <w:spacing w:beforeAutospacing="1" w:afterAutospacing="1"/>
      <w:jc w:val="left"/>
    </w:pPr>
    <w:rPr>
      <w:rFonts w:cs="Times New Roman"/>
      <w:kern w:val="0"/>
      <w:sz w:val="24"/>
    </w:rPr>
  </w:style>
  <w:style w:type="paragraph" w:styleId="15">
    <w:name w:val="Body Text First Indent"/>
    <w:basedOn w:val="1"/>
    <w:next w:val="13"/>
    <w:qFormat/>
    <w:uiPriority w:val="99"/>
    <w:pPr>
      <w:spacing w:line="360" w:lineRule="auto"/>
      <w:ind w:firstLine="200"/>
    </w:pPr>
    <w:rPr>
      <w:rFonts w:ascii="宋体" w:hAnsi="宋体"/>
      <w:b/>
      <w:sz w:val="24"/>
      <w:szCs w:val="24"/>
    </w:rPr>
  </w:style>
  <w:style w:type="table" w:styleId="17">
    <w:name w:val="Table Grid"/>
    <w:basedOn w:val="1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9">
    <w:name w:val="正文首行缩进 211"/>
    <w:basedOn w:val="20"/>
    <w:next w:val="22"/>
    <w:unhideWhenUsed/>
    <w:qFormat/>
    <w:uiPriority w:val="99"/>
    <w:pPr>
      <w:ind w:firstLine="420"/>
    </w:pPr>
  </w:style>
  <w:style w:type="paragraph" w:customStyle="1" w:styleId="20">
    <w:name w:val="正文文本缩进11"/>
    <w:basedOn w:val="1"/>
    <w:next w:val="21"/>
    <w:unhideWhenUsed/>
    <w:qFormat/>
    <w:uiPriority w:val="99"/>
    <w:pPr>
      <w:spacing w:after="120"/>
      <w:ind w:left="420"/>
    </w:pPr>
  </w:style>
  <w:style w:type="paragraph" w:customStyle="1" w:styleId="21">
    <w:name w:val="寄信人地址1"/>
    <w:basedOn w:val="1"/>
    <w:unhideWhenUsed/>
    <w:qFormat/>
    <w:uiPriority w:val="99"/>
    <w:rPr>
      <w:rFonts w:ascii="Arial" w:hAnsi="Arial"/>
    </w:rPr>
  </w:style>
  <w:style w:type="paragraph" w:customStyle="1" w:styleId="22">
    <w:name w:val="样式 标题 3 + (中文) 黑体 小四 非加粗 段前: 7.8 磅 段后: 0 磅 行距: 固定值 20 磅_0"/>
    <w:basedOn w:val="23"/>
    <w:qFormat/>
    <w:uiPriority w:val="0"/>
    <w:pPr>
      <w:spacing w:before="0" w:after="0" w:line="400" w:lineRule="exact"/>
    </w:pPr>
    <w:rPr>
      <w:rFonts w:ascii="Times New Roman" w:hAnsi="Times New Roman" w:eastAsia="黑体" w:cs="宋体"/>
      <w:b w:val="0"/>
      <w:bCs w:val="0"/>
      <w:sz w:val="21"/>
      <w:szCs w:val="20"/>
    </w:rPr>
  </w:style>
  <w:style w:type="paragraph" w:customStyle="1" w:styleId="23">
    <w:name w:val="标题 3_0"/>
    <w:basedOn w:val="24"/>
    <w:next w:val="25"/>
    <w:qFormat/>
    <w:uiPriority w:val="0"/>
    <w:pPr>
      <w:keepNext/>
      <w:keepLines/>
      <w:spacing w:before="260" w:after="260" w:line="416" w:lineRule="auto"/>
      <w:outlineLvl w:val="2"/>
    </w:pPr>
    <w:rPr>
      <w:rFonts w:ascii="Calibri" w:hAnsi="Calibri" w:eastAsia="宋体"/>
      <w:b/>
      <w:bCs/>
      <w:sz w:val="32"/>
      <w:szCs w:val="32"/>
    </w:rPr>
  </w:style>
  <w:style w:type="paragraph" w:customStyle="1" w:styleId="24">
    <w:name w:val="正文_0"/>
    <w:next w:val="19"/>
    <w:qFormat/>
    <w:uiPriority w:val="0"/>
    <w:pPr>
      <w:widowControl w:val="0"/>
      <w:jc w:val="both"/>
    </w:pPr>
    <w:rPr>
      <w:rFonts w:hint="default" w:ascii="Calibri" w:hAnsi="Calibri" w:eastAsia="仿宋_GB2312" w:cs="Times New Roman"/>
      <w:sz w:val="21"/>
      <w:szCs w:val="22"/>
      <w:lang w:val="en-US" w:eastAsia="zh-CN" w:bidi="ar-SA"/>
    </w:rPr>
  </w:style>
  <w:style w:type="paragraph" w:customStyle="1" w:styleId="25">
    <w:name w:val="正文_1"/>
    <w:next w:val="19"/>
    <w:qFormat/>
    <w:uiPriority w:val="0"/>
    <w:pPr>
      <w:widowControl w:val="0"/>
      <w:jc w:val="both"/>
    </w:pPr>
    <w:rPr>
      <w:rFonts w:hint="default" w:ascii="Calibri" w:hAnsi="Calibri" w:eastAsia="仿宋_GB2312" w:cs="Times New Roman"/>
      <w:sz w:val="21"/>
      <w:szCs w:val="22"/>
      <w:lang w:val="en-US" w:eastAsia="zh-CN" w:bidi="ar-SA"/>
    </w:rPr>
  </w:style>
  <w:style w:type="paragraph" w:customStyle="1" w:styleId="26">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27">
    <w:name w:val="页眉 Char"/>
    <w:basedOn w:val="18"/>
    <w:link w:val="12"/>
    <w:autoRedefine/>
    <w:qFormat/>
    <w:uiPriority w:val="0"/>
    <w:rPr>
      <w:rFonts w:asciiTheme="minorHAnsi" w:hAnsiTheme="minorHAnsi" w:eastAsiaTheme="minorEastAsia" w:cstheme="minorBidi"/>
      <w:kern w:val="2"/>
      <w:sz w:val="18"/>
      <w:szCs w:val="18"/>
    </w:rPr>
  </w:style>
  <w:style w:type="character" w:customStyle="1" w:styleId="28">
    <w:name w:val="页脚 Char"/>
    <w:basedOn w:val="18"/>
    <w:link w:val="11"/>
    <w:autoRedefine/>
    <w:qFormat/>
    <w:uiPriority w:val="0"/>
    <w:rPr>
      <w:rFonts w:asciiTheme="minorHAnsi" w:hAnsiTheme="minorHAnsi" w:eastAsiaTheme="minorEastAsia" w:cstheme="minorBidi"/>
      <w:kern w:val="2"/>
      <w:sz w:val="18"/>
      <w:szCs w:val="18"/>
    </w:rPr>
  </w:style>
  <w:style w:type="paragraph" w:customStyle="1" w:styleId="29">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30">
    <w:name w:val="正文首行缩进 21"/>
    <w:basedOn w:val="31"/>
    <w:qFormat/>
    <w:uiPriority w:val="0"/>
    <w:pPr>
      <w:ind w:firstLine="420"/>
    </w:pPr>
  </w:style>
  <w:style w:type="paragraph" w:customStyle="1" w:styleId="31">
    <w:name w:val="正文文本缩进1"/>
    <w:basedOn w:val="1"/>
    <w:qFormat/>
    <w:uiPriority w:val="0"/>
    <w:pPr>
      <w:spacing w:after="120"/>
      <w:ind w:left="420"/>
    </w:pPr>
  </w:style>
  <w:style w:type="paragraph" w:customStyle="1" w:styleId="32">
    <w:name w:val="普通(网站)1"/>
    <w:basedOn w:val="1"/>
    <w:qFormat/>
    <w:uiPriority w:val="99"/>
    <w:pPr>
      <w:spacing w:beforeAutospacing="1" w:afterAutospacing="1"/>
      <w:jc w:val="left"/>
    </w:pPr>
    <w:rPr>
      <w:rFonts w:cs="Times New Roman"/>
      <w:sz w:val="24"/>
    </w:rPr>
  </w:style>
  <w:style w:type="character" w:customStyle="1" w:styleId="33">
    <w:name w:val="NormalCharacter"/>
    <w:semiHidden/>
    <w:qFormat/>
    <w:uiPriority w:val="0"/>
  </w:style>
  <w:style w:type="character" w:customStyle="1" w:styleId="34">
    <w:name w:val="NormalCharacter1"/>
    <w:link w:val="1"/>
    <w:qFormat/>
    <w:uiPriority w:val="0"/>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65</Pages>
  <Words>25227</Words>
  <Characters>26695</Characters>
  <Lines>167</Lines>
  <Paragraphs>47</Paragraphs>
  <TotalTime>78</TotalTime>
  <ScaleCrop>false</ScaleCrop>
  <LinksUpToDate>false</LinksUpToDate>
  <CharactersWithSpaces>27112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朱朱侠</cp:lastModifiedBy>
  <cp:lastPrinted>2026-03-05T08:10:00Z</cp:lastPrinted>
  <dcterms:modified xsi:type="dcterms:W3CDTF">2026-03-09T03:34:22Z</dcterms:modified>
  <cp:revision>272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53A860F0258E48C2ACEC3085A78983E6_13</vt:lpwstr>
  </property>
  <property fmtid="{D5CDD505-2E9C-101B-9397-08002B2CF9AE}" pid="4" name="KSOTemplateDocerSaveRecord">
    <vt:lpwstr>eyJoZGlkIjoiMzQwMTE4NzBjN2Y2MDY0YzgxZDljY2M2YjIwNWVkYTMiLCJ1c2VySWQiOiI1MDk5MTE1NDIifQ==</vt:lpwstr>
  </property>
</Properties>
</file>